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A81F9B" w14:textId="298E77B2" w:rsidR="001D70F1" w:rsidRPr="004F5D52" w:rsidRDefault="001D70F1" w:rsidP="001D70F1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2"/>
          <w:szCs w:val="22"/>
          <w:vertAlign w:val="superscript"/>
          <w:lang w:eastAsia="zh-CN"/>
        </w:rPr>
      </w:pPr>
      <w:bookmarkStart w:id="0" w:name="_Hlk92532984"/>
      <w:bookmarkStart w:id="1" w:name="_Hlk92532973"/>
      <w:bookmarkStart w:id="2" w:name="_Hlk92532926"/>
      <w:r w:rsidRPr="004F5D52">
        <w:rPr>
          <w:rFonts w:cs="Arial"/>
          <w:b/>
          <w:bCs/>
          <w:sz w:val="22"/>
          <w:szCs w:val="22"/>
        </w:rPr>
        <w:t>3GPP TSG-RAN WG2 Meeting #121bis-e</w:t>
      </w:r>
      <w:r w:rsidRPr="004F5D52">
        <w:rPr>
          <w:b/>
          <w:i/>
          <w:sz w:val="22"/>
          <w:szCs w:val="22"/>
        </w:rPr>
        <w:tab/>
      </w:r>
      <w:r w:rsidRPr="004F5D52">
        <w:rPr>
          <w:rFonts w:cs="Arial"/>
          <w:b/>
          <w:sz w:val="22"/>
          <w:szCs w:val="22"/>
        </w:rPr>
        <w:t>R2-2303914</w:t>
      </w:r>
    </w:p>
    <w:p w14:paraId="78D14FA7" w14:textId="77777777" w:rsidR="001D70F1" w:rsidRPr="004F5D52" w:rsidRDefault="001D70F1" w:rsidP="001D70F1">
      <w:pPr>
        <w:pStyle w:val="CRCoverPage"/>
        <w:tabs>
          <w:tab w:val="right" w:pos="9639"/>
        </w:tabs>
        <w:spacing w:after="0"/>
        <w:rPr>
          <w:b/>
          <w:sz w:val="22"/>
          <w:szCs w:val="22"/>
          <w:lang w:eastAsia="zh-CN"/>
        </w:rPr>
      </w:pPr>
      <w:r w:rsidRPr="004F5D52">
        <w:rPr>
          <w:b/>
          <w:sz w:val="22"/>
          <w:szCs w:val="22"/>
          <w:lang w:eastAsia="zh-CN"/>
        </w:rPr>
        <w:t>E-Meeting, 17</w:t>
      </w:r>
      <w:r w:rsidRPr="004F5D52">
        <w:rPr>
          <w:b/>
          <w:sz w:val="22"/>
          <w:szCs w:val="22"/>
          <w:vertAlign w:val="superscript"/>
          <w:lang w:eastAsia="zh-CN"/>
        </w:rPr>
        <w:t>th</w:t>
      </w:r>
      <w:r w:rsidRPr="004F5D52">
        <w:rPr>
          <w:b/>
          <w:sz w:val="22"/>
          <w:szCs w:val="22"/>
          <w:lang w:eastAsia="zh-CN"/>
        </w:rPr>
        <w:t xml:space="preserve"> – 26</w:t>
      </w:r>
      <w:r w:rsidRPr="004F5D52">
        <w:rPr>
          <w:b/>
          <w:sz w:val="22"/>
          <w:szCs w:val="22"/>
          <w:vertAlign w:val="superscript"/>
          <w:lang w:eastAsia="zh-CN"/>
        </w:rPr>
        <w:t>th</w:t>
      </w:r>
      <w:r w:rsidRPr="004F5D52">
        <w:rPr>
          <w:b/>
          <w:sz w:val="22"/>
          <w:szCs w:val="22"/>
          <w:lang w:eastAsia="zh-CN"/>
        </w:rPr>
        <w:t xml:space="preserve"> April 2023</w:t>
      </w:r>
    </w:p>
    <w:p w14:paraId="39EA01E6" w14:textId="10E9AB6A" w:rsidR="00541641" w:rsidRPr="00D8388D" w:rsidRDefault="00541641" w:rsidP="00541641">
      <w:pPr>
        <w:widowControl/>
        <w:tabs>
          <w:tab w:val="left" w:pos="1979"/>
        </w:tabs>
        <w:spacing w:after="180"/>
        <w:jc w:val="left"/>
        <w:rPr>
          <w:rFonts w:ascii="Arial" w:eastAsia="Tahoma" w:hAnsi="Arial" w:cs="Arial"/>
          <w:b/>
          <w:bCs/>
          <w:kern w:val="0"/>
          <w:sz w:val="22"/>
          <w:szCs w:val="22"/>
        </w:rPr>
      </w:pPr>
    </w:p>
    <w:p w14:paraId="615799DD" w14:textId="5BE15DFB" w:rsidR="00541641" w:rsidRPr="004F5D52" w:rsidRDefault="00541641" w:rsidP="00541641">
      <w:pPr>
        <w:widowControl/>
        <w:tabs>
          <w:tab w:val="left" w:pos="1800"/>
          <w:tab w:val="right" w:pos="9072"/>
        </w:tabs>
        <w:ind w:left="1798" w:hangingChars="814" w:hanging="1798"/>
        <w:jc w:val="left"/>
        <w:rPr>
          <w:rFonts w:ascii="Arial" w:eastAsia="宋体" w:hAnsi="Arial" w:cs="Times New Roman"/>
          <w:b/>
          <w:kern w:val="0"/>
          <w:sz w:val="22"/>
          <w:szCs w:val="22"/>
        </w:rPr>
      </w:pPr>
      <w:bookmarkStart w:id="3" w:name="_Hlk92532988"/>
      <w:bookmarkStart w:id="4" w:name="_Hlk92533107"/>
      <w:bookmarkEnd w:id="0"/>
      <w:r w:rsidRPr="004F5D52">
        <w:rPr>
          <w:rFonts w:ascii="Arial" w:eastAsia="宋体" w:hAnsi="Arial" w:cs="Times New Roman"/>
          <w:b/>
          <w:kern w:val="0"/>
          <w:sz w:val="22"/>
          <w:szCs w:val="22"/>
        </w:rPr>
        <w:t>Agenda Item:</w:t>
      </w:r>
      <w:r w:rsidRPr="004F5D52">
        <w:rPr>
          <w:rFonts w:ascii="Arial" w:eastAsia="宋体" w:hAnsi="Arial" w:cs="Times New Roman"/>
          <w:b/>
          <w:kern w:val="0"/>
          <w:sz w:val="22"/>
          <w:szCs w:val="22"/>
        </w:rPr>
        <w:tab/>
      </w:r>
      <w:r w:rsidR="00DE15A2" w:rsidRPr="004F5D52">
        <w:rPr>
          <w:rFonts w:ascii="Arial" w:eastAsia="宋体" w:hAnsi="Arial" w:cs="Times New Roman"/>
          <w:b/>
          <w:kern w:val="0"/>
          <w:sz w:val="22"/>
          <w:szCs w:val="22"/>
        </w:rPr>
        <w:t>7.15.4</w:t>
      </w:r>
    </w:p>
    <w:p w14:paraId="78B68DCC" w14:textId="29AA39CE" w:rsidR="00541641" w:rsidRPr="004F5D52" w:rsidRDefault="00541641" w:rsidP="00541641">
      <w:pPr>
        <w:widowControl/>
        <w:tabs>
          <w:tab w:val="left" w:pos="1800"/>
          <w:tab w:val="right" w:pos="9072"/>
        </w:tabs>
        <w:ind w:left="1800" w:hanging="1800"/>
        <w:jc w:val="left"/>
        <w:rPr>
          <w:rFonts w:ascii="Arial" w:hAnsi="Arial" w:cs="Times New Roman"/>
          <w:b/>
          <w:kern w:val="0"/>
          <w:sz w:val="22"/>
          <w:szCs w:val="22"/>
        </w:rPr>
      </w:pPr>
      <w:bookmarkStart w:id="5" w:name="_Hlk92532994"/>
      <w:bookmarkEnd w:id="3"/>
      <w:r w:rsidRPr="004F5D52">
        <w:rPr>
          <w:rFonts w:ascii="Arial" w:eastAsia="宋体" w:hAnsi="Arial" w:cs="Times New Roman"/>
          <w:b/>
          <w:kern w:val="0"/>
          <w:sz w:val="22"/>
          <w:szCs w:val="22"/>
        </w:rPr>
        <w:t>Source:</w:t>
      </w:r>
      <w:r w:rsidRPr="004F5D52">
        <w:rPr>
          <w:rFonts w:ascii="Arial" w:eastAsia="宋体" w:hAnsi="Arial" w:cs="Times New Roman"/>
          <w:b/>
          <w:kern w:val="0"/>
          <w:sz w:val="22"/>
          <w:szCs w:val="22"/>
        </w:rPr>
        <w:tab/>
      </w:r>
      <w:r w:rsidRPr="004F5D52">
        <w:rPr>
          <w:rFonts w:ascii="Arial" w:eastAsia="MS Mincho" w:hAnsi="Arial" w:cs="Arial"/>
          <w:b/>
          <w:kern w:val="0"/>
          <w:sz w:val="22"/>
          <w:szCs w:val="22"/>
          <w:lang w:eastAsia="en-US"/>
        </w:rPr>
        <w:t>vivo</w:t>
      </w:r>
      <w:r w:rsidR="002A18F4" w:rsidRPr="004F5D52">
        <w:rPr>
          <w:rFonts w:ascii="Arial" w:hAnsi="Arial" w:cs="Arial"/>
          <w:b/>
          <w:kern w:val="0"/>
          <w:sz w:val="22"/>
          <w:szCs w:val="22"/>
        </w:rPr>
        <w:t xml:space="preserve">, </w:t>
      </w:r>
      <w:r w:rsidR="00D7413F" w:rsidRPr="004F5D52">
        <w:rPr>
          <w:rFonts w:ascii="Arial" w:hAnsi="Arial" w:cs="Arial"/>
          <w:b/>
          <w:kern w:val="0"/>
          <w:sz w:val="22"/>
          <w:szCs w:val="22"/>
        </w:rPr>
        <w:t xml:space="preserve">Lenovo, </w:t>
      </w:r>
      <w:proofErr w:type="spellStart"/>
      <w:r w:rsidR="00D7413F" w:rsidRPr="004F5D52">
        <w:rPr>
          <w:rFonts w:ascii="Arial" w:hAnsi="Arial" w:cs="Arial"/>
          <w:b/>
          <w:kern w:val="0"/>
          <w:sz w:val="22"/>
          <w:szCs w:val="22"/>
        </w:rPr>
        <w:t>InterDigital</w:t>
      </w:r>
      <w:proofErr w:type="spellEnd"/>
      <w:r w:rsidR="00553B57" w:rsidRPr="004F5D52">
        <w:rPr>
          <w:rFonts w:ascii="Arial" w:hAnsi="Arial" w:cs="Arial"/>
          <w:b/>
          <w:kern w:val="0"/>
          <w:sz w:val="22"/>
          <w:szCs w:val="22"/>
        </w:rPr>
        <w:t xml:space="preserve">, </w:t>
      </w:r>
      <w:proofErr w:type="spellStart"/>
      <w:r w:rsidR="00D7413F" w:rsidRPr="004F5D52">
        <w:rPr>
          <w:rFonts w:ascii="Arial" w:hAnsi="Arial" w:cs="Arial"/>
          <w:b/>
          <w:kern w:val="0"/>
          <w:sz w:val="22"/>
          <w:szCs w:val="22"/>
        </w:rPr>
        <w:t>ASUSTeK</w:t>
      </w:r>
      <w:proofErr w:type="spellEnd"/>
      <w:r w:rsidR="00DD545F" w:rsidRPr="004F5D52">
        <w:rPr>
          <w:rFonts w:ascii="Arial" w:hAnsi="Arial" w:cs="Arial"/>
          <w:b/>
          <w:kern w:val="0"/>
          <w:sz w:val="22"/>
          <w:szCs w:val="22"/>
        </w:rPr>
        <w:t xml:space="preserve">, </w:t>
      </w:r>
      <w:r w:rsidR="005264E0" w:rsidRPr="004F5D52">
        <w:rPr>
          <w:rFonts w:ascii="Arial" w:hAnsi="Arial" w:cs="Arial"/>
          <w:b/>
          <w:kern w:val="0"/>
          <w:sz w:val="22"/>
          <w:szCs w:val="22"/>
        </w:rPr>
        <w:t xml:space="preserve">Huawei, </w:t>
      </w:r>
      <w:proofErr w:type="spellStart"/>
      <w:r w:rsidR="005264E0" w:rsidRPr="004F5D52">
        <w:rPr>
          <w:rFonts w:ascii="Arial" w:hAnsi="Arial" w:cs="Arial"/>
          <w:b/>
          <w:kern w:val="0"/>
          <w:sz w:val="22"/>
          <w:szCs w:val="22"/>
        </w:rPr>
        <w:t>HiSilicon</w:t>
      </w:r>
      <w:proofErr w:type="spellEnd"/>
    </w:p>
    <w:bookmarkEnd w:id="5"/>
    <w:p w14:paraId="0E6AB523" w14:textId="2A4E17C8" w:rsidR="00541641" w:rsidRPr="004F5D52" w:rsidRDefault="00541641" w:rsidP="00541641">
      <w:pPr>
        <w:widowControl/>
        <w:tabs>
          <w:tab w:val="left" w:pos="1800"/>
          <w:tab w:val="center" w:pos="4536"/>
          <w:tab w:val="right" w:pos="9072"/>
        </w:tabs>
        <w:ind w:left="1798" w:hangingChars="814" w:hanging="1798"/>
        <w:jc w:val="left"/>
        <w:rPr>
          <w:rFonts w:ascii="Arial" w:eastAsia="MS Mincho" w:hAnsi="Arial" w:cs="Times New Roman"/>
          <w:b/>
          <w:kern w:val="0"/>
          <w:sz w:val="22"/>
          <w:szCs w:val="22"/>
          <w:lang w:eastAsia="en-US"/>
        </w:rPr>
      </w:pPr>
      <w:r w:rsidRPr="004F5D52">
        <w:rPr>
          <w:rFonts w:ascii="Arial" w:eastAsia="宋体" w:hAnsi="Arial" w:cs="Times New Roman"/>
          <w:b/>
          <w:kern w:val="0"/>
          <w:sz w:val="22"/>
          <w:szCs w:val="22"/>
        </w:rPr>
        <w:t>Title:</w:t>
      </w:r>
      <w:r w:rsidRPr="004F5D52">
        <w:rPr>
          <w:rFonts w:ascii="Arial" w:eastAsia="宋体" w:hAnsi="Arial" w:cs="Times New Roman"/>
          <w:b/>
          <w:kern w:val="0"/>
          <w:sz w:val="22"/>
          <w:szCs w:val="22"/>
        </w:rPr>
        <w:tab/>
      </w:r>
      <w:r w:rsidR="00D7413F" w:rsidRPr="004F5D52">
        <w:rPr>
          <w:rFonts w:ascii="Arial" w:eastAsia="宋体" w:hAnsi="Arial" w:cs="Times New Roman"/>
          <w:b/>
          <w:kern w:val="0"/>
          <w:sz w:val="22"/>
          <w:szCs w:val="22"/>
        </w:rPr>
        <w:t>Discussion on CAPC for non-standardized PQI to decide 'best match'</w:t>
      </w:r>
    </w:p>
    <w:bookmarkEnd w:id="1"/>
    <w:p w14:paraId="2EB3B417" w14:textId="77777777" w:rsidR="00541641" w:rsidRPr="004F5D52" w:rsidRDefault="00541641" w:rsidP="00541641">
      <w:pPr>
        <w:widowControl/>
        <w:tabs>
          <w:tab w:val="left" w:pos="1800"/>
          <w:tab w:val="center" w:pos="4536"/>
          <w:tab w:val="right" w:pos="9072"/>
        </w:tabs>
        <w:jc w:val="left"/>
        <w:rPr>
          <w:rFonts w:ascii="Arial" w:eastAsia="宋体" w:hAnsi="Arial" w:cs="Times New Roman"/>
          <w:b/>
          <w:kern w:val="0"/>
          <w:sz w:val="22"/>
          <w:szCs w:val="22"/>
        </w:rPr>
      </w:pPr>
      <w:r w:rsidRPr="004F5D52">
        <w:rPr>
          <w:rFonts w:ascii="Arial" w:eastAsia="宋体" w:hAnsi="Arial" w:cs="Times New Roman"/>
          <w:b/>
          <w:kern w:val="0"/>
          <w:sz w:val="22"/>
          <w:szCs w:val="22"/>
        </w:rPr>
        <w:t>Document for:</w:t>
      </w:r>
      <w:r w:rsidRPr="004F5D52">
        <w:rPr>
          <w:rFonts w:ascii="Arial" w:eastAsia="宋体" w:hAnsi="Arial" w:cs="Times New Roman"/>
          <w:b/>
          <w:kern w:val="0"/>
          <w:sz w:val="22"/>
          <w:szCs w:val="22"/>
        </w:rPr>
        <w:tab/>
        <w:t>Discussion and Decision</w:t>
      </w:r>
    </w:p>
    <w:bookmarkEnd w:id="2"/>
    <w:bookmarkEnd w:id="4"/>
    <w:p w14:paraId="2A15DB04" w14:textId="63CEA20D" w:rsidR="00541641" w:rsidRDefault="00541641" w:rsidP="00541641">
      <w:pPr>
        <w:pBdr>
          <w:bottom w:val="single" w:sz="12" w:space="1" w:color="auto"/>
        </w:pBdr>
      </w:pPr>
    </w:p>
    <w:p w14:paraId="6DACAADA" w14:textId="4EEA623E" w:rsidR="004D0653" w:rsidRDefault="00541641" w:rsidP="00541641">
      <w:pPr>
        <w:pStyle w:val="Heading1"/>
      </w:pPr>
      <w:bookmarkStart w:id="6" w:name="_Hlk92533719"/>
      <w:r w:rsidRPr="00541641">
        <w:t>Introduction</w:t>
      </w:r>
      <w:bookmarkEnd w:id="6"/>
    </w:p>
    <w:p w14:paraId="1EB27F60" w14:textId="73181CA4" w:rsidR="00541641" w:rsidRDefault="00541641" w:rsidP="00541641">
      <w:pPr>
        <w:spacing w:afterLines="50" w:after="156"/>
        <w:rPr>
          <w:rFonts w:eastAsia="宋体"/>
        </w:rPr>
      </w:pPr>
      <w:bookmarkStart w:id="7" w:name="_Hlk85390381"/>
      <w:bookmarkStart w:id="8" w:name="_Hlk92533704"/>
      <w:r>
        <w:rPr>
          <w:rFonts w:eastAsia="宋体" w:hint="eastAsia"/>
        </w:rPr>
        <w:t>A</w:t>
      </w:r>
      <w:r>
        <w:rPr>
          <w:rFonts w:eastAsia="宋体"/>
        </w:rPr>
        <w:t xml:space="preserve">ccording to </w:t>
      </w:r>
      <w:r w:rsidR="00D7413F">
        <w:rPr>
          <w:rFonts w:eastAsia="宋体"/>
        </w:rPr>
        <w:t>RAN</w:t>
      </w:r>
      <w:r w:rsidR="00DE15A2">
        <w:rPr>
          <w:rFonts w:eastAsia="宋体"/>
        </w:rPr>
        <w:t xml:space="preserve">2#120 and </w:t>
      </w:r>
      <w:r w:rsidR="001633C2">
        <w:rPr>
          <w:rFonts w:eastAsia="宋体"/>
        </w:rPr>
        <w:t>R</w:t>
      </w:r>
      <w:r w:rsidR="00D7413F">
        <w:rPr>
          <w:rFonts w:eastAsia="宋体"/>
        </w:rPr>
        <w:t>AN2</w:t>
      </w:r>
      <w:r w:rsidR="001633C2">
        <w:rPr>
          <w:rFonts w:eastAsia="宋体"/>
        </w:rPr>
        <w:t xml:space="preserve">#121 </w:t>
      </w:r>
      <w:r>
        <w:rPr>
          <w:rFonts w:eastAsia="宋体"/>
        </w:rPr>
        <w:t xml:space="preserve">meeting, the following agreements were </w:t>
      </w:r>
      <w:r w:rsidR="00DD5FDA">
        <w:rPr>
          <w:rFonts w:eastAsia="宋体"/>
        </w:rPr>
        <w:t xml:space="preserve">made </w:t>
      </w:r>
      <w:r w:rsidR="00D7413F">
        <w:rPr>
          <w:rFonts w:eastAsia="宋体"/>
        </w:rPr>
        <w:fldChar w:fldCharType="begin"/>
      </w:r>
      <w:r w:rsidR="00D7413F">
        <w:rPr>
          <w:rFonts w:eastAsia="宋体"/>
        </w:rPr>
        <w:instrText xml:space="preserve"> REF _Ref131759649 \r \h </w:instrText>
      </w:r>
      <w:r w:rsidR="00D7413F">
        <w:rPr>
          <w:rFonts w:eastAsia="宋体"/>
        </w:rPr>
      </w:r>
      <w:r w:rsidR="00D7413F">
        <w:rPr>
          <w:rFonts w:eastAsia="宋体"/>
        </w:rPr>
        <w:fldChar w:fldCharType="separate"/>
      </w:r>
      <w:r w:rsidR="00D7413F">
        <w:rPr>
          <w:rFonts w:eastAsia="宋体"/>
        </w:rPr>
        <w:t>[1]</w:t>
      </w:r>
      <w:r w:rsidR="00D7413F">
        <w:rPr>
          <w:rFonts w:eastAsia="宋体"/>
        </w:rPr>
        <w:fldChar w:fldCharType="end"/>
      </w:r>
      <w:r w:rsidR="00D7413F">
        <w:rPr>
          <w:rFonts w:eastAsia="宋体"/>
        </w:rPr>
        <w:fldChar w:fldCharType="begin"/>
      </w:r>
      <w:r w:rsidR="00D7413F">
        <w:rPr>
          <w:rFonts w:eastAsia="宋体"/>
        </w:rPr>
        <w:instrText xml:space="preserve"> REF _Ref131759650 \r \h </w:instrText>
      </w:r>
      <w:r w:rsidR="00D7413F">
        <w:rPr>
          <w:rFonts w:eastAsia="宋体"/>
        </w:rPr>
      </w:r>
      <w:r w:rsidR="00D7413F">
        <w:rPr>
          <w:rFonts w:eastAsia="宋体"/>
        </w:rPr>
        <w:fldChar w:fldCharType="separate"/>
      </w:r>
      <w:r w:rsidR="00D7413F">
        <w:rPr>
          <w:rFonts w:eastAsia="宋体"/>
        </w:rPr>
        <w:t>[2]</w:t>
      </w:r>
      <w:r w:rsidR="00D7413F">
        <w:rPr>
          <w:rFonts w:eastAsia="宋体"/>
        </w:rPr>
        <w:fldChar w:fldCharType="end"/>
      </w:r>
      <w:r>
        <w:rPr>
          <w:rFonts w:eastAsia="宋体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0"/>
      </w:tblGrid>
      <w:tr w:rsidR="00541641" w14:paraId="556821DD" w14:textId="77777777" w:rsidTr="004F773B">
        <w:tc>
          <w:tcPr>
            <w:tcW w:w="9060" w:type="dxa"/>
          </w:tcPr>
          <w:bookmarkEnd w:id="7"/>
          <w:p w14:paraId="3DDA5144" w14:textId="051F68AB" w:rsidR="00DE15A2" w:rsidRPr="00E05438" w:rsidRDefault="00D7413F" w:rsidP="00DE15A2">
            <w:pPr>
              <w:rPr>
                <w:rFonts w:eastAsia="等线"/>
                <w:b/>
                <w:bCs/>
                <w:iCs/>
              </w:rPr>
            </w:pPr>
            <w:r>
              <w:rPr>
                <w:rFonts w:eastAsia="等线"/>
                <w:b/>
                <w:bCs/>
                <w:iCs/>
              </w:rPr>
              <w:t xml:space="preserve">RAN2 #120 </w:t>
            </w:r>
            <w:r w:rsidR="00DE15A2" w:rsidRPr="00E05438">
              <w:rPr>
                <w:rFonts w:eastAsia="等线"/>
                <w:b/>
                <w:bCs/>
                <w:iCs/>
              </w:rPr>
              <w:t xml:space="preserve">Agreements on SL CAPC for RRC inactive/idle/OOC </w:t>
            </w:r>
          </w:p>
          <w:p w14:paraId="13116B10" w14:textId="77777777" w:rsidR="00A93A63" w:rsidRDefault="00DE15A2" w:rsidP="00DE15A2">
            <w:pPr>
              <w:rPr>
                <w:rFonts w:eastAsia="等线"/>
                <w:bCs/>
                <w:iCs/>
              </w:rPr>
            </w:pPr>
            <w:r w:rsidRPr="00DE15A2">
              <w:rPr>
                <w:rFonts w:eastAsia="等线"/>
                <w:bCs/>
                <w:iCs/>
              </w:rPr>
              <w:t>1: For an IDLE/INACTIVE/OOC UE, if the QoS flow of non-standardized PQI can be mapped to a non-default SLRB, the UE determines the CAPC of this non-standardized PQI using the CAPC of this SLRB.</w:t>
            </w:r>
          </w:p>
          <w:p w14:paraId="58A24D49" w14:textId="2E68DB73" w:rsidR="00DE15A2" w:rsidRDefault="00DE15A2" w:rsidP="00DE15A2">
            <w:pPr>
              <w:rPr>
                <w:rFonts w:eastAsia="等线"/>
                <w:bCs/>
                <w:iCs/>
              </w:rPr>
            </w:pPr>
          </w:p>
          <w:p w14:paraId="46C1D220" w14:textId="3B4B7092" w:rsidR="001633C2" w:rsidRPr="00E05438" w:rsidRDefault="00D7413F" w:rsidP="001633C2">
            <w:pPr>
              <w:rPr>
                <w:rFonts w:eastAsia="等线"/>
                <w:b/>
                <w:bCs/>
                <w:iCs/>
              </w:rPr>
            </w:pPr>
            <w:r>
              <w:rPr>
                <w:rFonts w:eastAsia="等线"/>
                <w:b/>
                <w:bCs/>
                <w:iCs/>
              </w:rPr>
              <w:t xml:space="preserve">RAN2 #121 </w:t>
            </w:r>
            <w:r w:rsidR="001633C2" w:rsidRPr="00E05438">
              <w:rPr>
                <w:rFonts w:eastAsia="等线"/>
                <w:b/>
                <w:bCs/>
                <w:iCs/>
              </w:rPr>
              <w:t xml:space="preserve">Agreement on SL CAPC mapping rule </w:t>
            </w:r>
          </w:p>
          <w:p w14:paraId="6E087472" w14:textId="582A74EB" w:rsidR="00DE15A2" w:rsidRPr="00A93A63" w:rsidRDefault="001633C2" w:rsidP="00DE15A2">
            <w:pPr>
              <w:rPr>
                <w:rFonts w:eastAsia="等线"/>
                <w:bCs/>
                <w:iCs/>
              </w:rPr>
            </w:pPr>
            <w:r w:rsidRPr="001633C2">
              <w:rPr>
                <w:rFonts w:eastAsia="等线"/>
                <w:bCs/>
                <w:iCs/>
              </w:rPr>
              <w:t>1: For an IDLE/INACTIVE/OOC UE, if a QoS flow cannot be mapped to a non-default SLRB: 1) if the per-bearer CAPC is configured in SIB/Pre-configuration, the UE use the configured CAPC; 2) else, select CAPC of the standardized PQI which best matches the QoS characteristics of the non-standardized QoS flow based on one or more QoS characteristics. For a standardized QoS flow, CAPC is directly derived from CAPC table.</w:t>
            </w:r>
          </w:p>
        </w:tc>
      </w:tr>
    </w:tbl>
    <w:p w14:paraId="1FA6579C" w14:textId="71A90B4E" w:rsidR="00541641" w:rsidRDefault="00541641" w:rsidP="001633C2">
      <w:pPr>
        <w:spacing w:before="120"/>
      </w:pPr>
      <w:r>
        <w:rPr>
          <w:rFonts w:eastAsia="宋体"/>
        </w:rPr>
        <w:t>In this contribution</w:t>
      </w:r>
      <w:r w:rsidR="00A93A63">
        <w:rPr>
          <w:rFonts w:eastAsia="宋体"/>
        </w:rPr>
        <w:t>,</w:t>
      </w:r>
      <w:r>
        <w:rPr>
          <w:rFonts w:eastAsia="宋体"/>
        </w:rPr>
        <w:t xml:space="preserve"> we will </w:t>
      </w:r>
      <w:r w:rsidR="001633C2">
        <w:rPr>
          <w:rFonts w:eastAsia="宋体"/>
        </w:rPr>
        <w:t xml:space="preserve">discuss the </w:t>
      </w:r>
      <w:r w:rsidR="00753361">
        <w:rPr>
          <w:rFonts w:eastAsia="宋体"/>
        </w:rPr>
        <w:t>leftover</w:t>
      </w:r>
      <w:r w:rsidR="001633C2">
        <w:rPr>
          <w:rFonts w:eastAsia="宋体"/>
        </w:rPr>
        <w:t xml:space="preserve"> issue on how to </w:t>
      </w:r>
      <w:r w:rsidR="001633C2" w:rsidRPr="001633C2">
        <w:rPr>
          <w:rFonts w:eastAsia="等线"/>
          <w:bCs/>
          <w:iCs/>
        </w:rPr>
        <w:t xml:space="preserve">select CAPC </w:t>
      </w:r>
      <w:r w:rsidR="000B2C12">
        <w:rPr>
          <w:rFonts w:eastAsia="等线"/>
          <w:bCs/>
          <w:iCs/>
        </w:rPr>
        <w:t>from</w:t>
      </w:r>
      <w:r w:rsidR="001633C2" w:rsidRPr="001633C2">
        <w:rPr>
          <w:rFonts w:eastAsia="等线"/>
          <w:bCs/>
          <w:iCs/>
        </w:rPr>
        <w:t xml:space="preserve"> the standardized PQI which best matches the non-standardized QoS flow based on one or more QoS characteristics</w:t>
      </w:r>
      <w:r w:rsidR="005805C2">
        <w:rPr>
          <w:rFonts w:eastAsia="等线"/>
          <w:bCs/>
          <w:iCs/>
        </w:rPr>
        <w:t xml:space="preserve"> </w:t>
      </w:r>
      <w:r w:rsidR="001929A5">
        <w:rPr>
          <w:rFonts w:eastAsia="等线"/>
          <w:bCs/>
          <w:iCs/>
        </w:rPr>
        <w:t>which in case</w:t>
      </w:r>
      <w:r w:rsidR="005805C2">
        <w:rPr>
          <w:rFonts w:eastAsia="等线"/>
          <w:bCs/>
          <w:iCs/>
        </w:rPr>
        <w:t xml:space="preserve"> cannot be mapped to a non-default SLRB or use the configured CAPC of the per-bearer CAPC configured in SIB/Pre-configuration</w:t>
      </w:r>
      <w:r>
        <w:t>.</w:t>
      </w:r>
      <w:bookmarkEnd w:id="8"/>
    </w:p>
    <w:p w14:paraId="2F96FEB6" w14:textId="77777777" w:rsidR="00541641" w:rsidRPr="00541641" w:rsidRDefault="00541641" w:rsidP="00541641">
      <w:pPr>
        <w:pBdr>
          <w:bottom w:val="single" w:sz="12" w:space="1" w:color="auto"/>
        </w:pBdr>
      </w:pPr>
    </w:p>
    <w:p w14:paraId="1B94B449" w14:textId="66B18966" w:rsidR="00541641" w:rsidRDefault="00541641" w:rsidP="00541641">
      <w:pPr>
        <w:pStyle w:val="Heading1"/>
      </w:pPr>
      <w:r>
        <w:t>Discussion</w:t>
      </w:r>
    </w:p>
    <w:p w14:paraId="6961F316" w14:textId="00D5B5EF" w:rsidR="00194C84" w:rsidRDefault="00AC1147" w:rsidP="00E66AD6">
      <w:pPr>
        <w:spacing w:after="120"/>
        <w:rPr>
          <w:rFonts w:cs="Times New Roman"/>
          <w:szCs w:val="20"/>
        </w:rPr>
      </w:pPr>
      <w:r>
        <w:rPr>
          <w:rFonts w:cs="Times New Roman"/>
          <w:szCs w:val="20"/>
        </w:rPr>
        <w:t xml:space="preserve">During last meeting, </w:t>
      </w:r>
      <w:r w:rsidR="005805C2">
        <w:rPr>
          <w:rFonts w:cs="Times New Roman"/>
          <w:szCs w:val="20"/>
        </w:rPr>
        <w:t xml:space="preserve">the only question left for this issue is whether we specify any matching rules or leave it to UE implementation. Since </w:t>
      </w:r>
      <w:r w:rsidR="005805C2" w:rsidRPr="00EA335D">
        <w:rPr>
          <w:szCs w:val="20"/>
        </w:rPr>
        <w:t>there are multiple dimensions of QoS parameters involved by the PQI,</w:t>
      </w:r>
      <w:r w:rsidR="005805C2">
        <w:rPr>
          <w:szCs w:val="20"/>
        </w:rPr>
        <w:t xml:space="preserve"> it is possible that a non-standardized PQI can be </w:t>
      </w:r>
      <w:r w:rsidR="008E1087">
        <w:rPr>
          <w:szCs w:val="20"/>
        </w:rPr>
        <w:t>‘best matched’</w:t>
      </w:r>
      <w:r w:rsidR="005805C2">
        <w:rPr>
          <w:szCs w:val="20"/>
        </w:rPr>
        <w:t xml:space="preserve"> to </w:t>
      </w:r>
      <w:r w:rsidR="008E1087">
        <w:rPr>
          <w:szCs w:val="20"/>
        </w:rPr>
        <w:t xml:space="preserve">different standardized PQIs based on different QoS parameters. </w:t>
      </w:r>
      <w:r w:rsidR="00BF675D">
        <w:rPr>
          <w:szCs w:val="20"/>
        </w:rPr>
        <w:t>Therefore</w:t>
      </w:r>
      <w:r w:rsidR="008E1087">
        <w:rPr>
          <w:szCs w:val="20"/>
        </w:rPr>
        <w:t>, t</w:t>
      </w:r>
      <w:r w:rsidR="008E1087">
        <w:rPr>
          <w:rFonts w:cs="Times New Roman"/>
          <w:szCs w:val="20"/>
        </w:rPr>
        <w:t>he problem of fully relying on UE implementation is that it is likely to have inconsistent behaviors among UEs, leading to fairness issue or even breaking the related regulations.</w:t>
      </w:r>
      <w:r w:rsidR="00BF675D">
        <w:rPr>
          <w:rFonts w:cs="Times New Roman"/>
          <w:szCs w:val="20"/>
        </w:rPr>
        <w:t xml:space="preserve"> </w:t>
      </w:r>
    </w:p>
    <w:p w14:paraId="18C3FCEE" w14:textId="15D2E90B" w:rsidR="008E1087" w:rsidRDefault="008E1087" w:rsidP="00E66AD6">
      <w:pPr>
        <w:spacing w:after="120"/>
        <w:rPr>
          <w:szCs w:val="20"/>
        </w:rPr>
      </w:pPr>
      <w:r>
        <w:rPr>
          <w:rFonts w:cs="Times New Roman"/>
          <w:szCs w:val="20"/>
        </w:rPr>
        <w:t xml:space="preserve">As an example, given a </w:t>
      </w:r>
      <w:r w:rsidRPr="00EA335D">
        <w:rPr>
          <w:szCs w:val="20"/>
        </w:rPr>
        <w:t>non-standardized PQ</w:t>
      </w:r>
      <w:r>
        <w:rPr>
          <w:szCs w:val="20"/>
        </w:rPr>
        <w:t>I, it may have:</w:t>
      </w:r>
    </w:p>
    <w:p w14:paraId="12062B90" w14:textId="77777777" w:rsidR="008E1087" w:rsidRPr="00EA335D" w:rsidRDefault="008E1087" w:rsidP="00EB7A5A">
      <w:pPr>
        <w:pStyle w:val="ListParagraph"/>
        <w:numPr>
          <w:ilvl w:val="0"/>
          <w:numId w:val="18"/>
        </w:numPr>
        <w:spacing w:after="120"/>
        <w:ind w:firstLineChars="0"/>
        <w:rPr>
          <w:rFonts w:ascii="Times New Roman" w:hAnsi="Times New Roman"/>
          <w:sz w:val="20"/>
          <w:szCs w:val="20"/>
        </w:rPr>
      </w:pPr>
      <w:r w:rsidRPr="00EA335D">
        <w:rPr>
          <w:rFonts w:ascii="Times New Roman" w:hAnsi="Times New Roman"/>
          <w:sz w:val="20"/>
          <w:szCs w:val="20"/>
        </w:rPr>
        <w:t>PDB closest to that of standardized PQI 1;</w:t>
      </w:r>
    </w:p>
    <w:p w14:paraId="11C1E31F" w14:textId="77777777" w:rsidR="008E1087" w:rsidRPr="00EA335D" w:rsidRDefault="008E1087" w:rsidP="00EB7A5A">
      <w:pPr>
        <w:pStyle w:val="ListParagraph"/>
        <w:numPr>
          <w:ilvl w:val="0"/>
          <w:numId w:val="18"/>
        </w:numPr>
        <w:spacing w:after="120"/>
        <w:ind w:firstLineChars="0"/>
        <w:rPr>
          <w:rFonts w:ascii="Times New Roman" w:hAnsi="Times New Roman"/>
          <w:sz w:val="20"/>
          <w:szCs w:val="20"/>
        </w:rPr>
      </w:pPr>
      <w:r w:rsidRPr="00EA335D">
        <w:rPr>
          <w:rFonts w:ascii="Times New Roman" w:hAnsi="Times New Roman"/>
          <w:sz w:val="20"/>
          <w:szCs w:val="20"/>
        </w:rPr>
        <w:t>default priority closest to that of standardized PQI 2;</w:t>
      </w:r>
    </w:p>
    <w:p w14:paraId="5742FEF5" w14:textId="5632CB64" w:rsidR="008E1087" w:rsidRPr="008E1087" w:rsidRDefault="008E1087">
      <w:pPr>
        <w:pStyle w:val="ListParagraph"/>
        <w:numPr>
          <w:ilvl w:val="0"/>
          <w:numId w:val="18"/>
        </w:numPr>
        <w:spacing w:after="120"/>
        <w:ind w:firstLineChars="0"/>
        <w:rPr>
          <w:szCs w:val="20"/>
        </w:rPr>
      </w:pPr>
      <w:r w:rsidRPr="00EA335D">
        <w:rPr>
          <w:rFonts w:ascii="Times New Roman" w:hAnsi="Times New Roman"/>
          <w:sz w:val="20"/>
          <w:szCs w:val="20"/>
        </w:rPr>
        <w:t>PBR closest to that of standardized PQI 3.</w:t>
      </w:r>
    </w:p>
    <w:p w14:paraId="555E5F34" w14:textId="3B25609F" w:rsidR="008E1087" w:rsidRDefault="0011668F">
      <w:pPr>
        <w:spacing w:after="120"/>
        <w:rPr>
          <w:szCs w:val="20"/>
        </w:rPr>
      </w:pPr>
      <w:r>
        <w:rPr>
          <w:szCs w:val="20"/>
        </w:rPr>
        <w:t>W</w:t>
      </w:r>
      <w:r w:rsidR="00BF675D" w:rsidRPr="00EA335D">
        <w:rPr>
          <w:szCs w:val="20"/>
        </w:rPr>
        <w:t xml:space="preserve">ith best-matching PQI determination fully based on UE implementation, the NW cannot predict </w:t>
      </w:r>
      <w:r>
        <w:rPr>
          <w:szCs w:val="20"/>
        </w:rPr>
        <w:t>the UE</w:t>
      </w:r>
      <w:r w:rsidR="00BF675D" w:rsidRPr="00EA335D">
        <w:rPr>
          <w:szCs w:val="20"/>
        </w:rPr>
        <w:t xml:space="preserve"> transmission behaviors at all, not even mentioning </w:t>
      </w:r>
      <w:r w:rsidR="00EB7A5A">
        <w:rPr>
          <w:szCs w:val="20"/>
        </w:rPr>
        <w:t>performing</w:t>
      </w:r>
      <w:r w:rsidR="00BF675D" w:rsidRPr="00EA335D">
        <w:rPr>
          <w:szCs w:val="20"/>
        </w:rPr>
        <w:t xml:space="preserve"> any control on these UEs’ behaviors. Such </w:t>
      </w:r>
      <w:bookmarkStart w:id="9" w:name="OLE_LINK1"/>
      <w:bookmarkStart w:id="10" w:name="OLE_LINK2"/>
      <w:r w:rsidR="00BF675D" w:rsidRPr="00EA335D">
        <w:rPr>
          <w:szCs w:val="20"/>
        </w:rPr>
        <w:t>inconsistent UE behavior</w:t>
      </w:r>
      <w:bookmarkEnd w:id="9"/>
      <w:bookmarkEnd w:id="10"/>
      <w:r w:rsidR="00BF675D" w:rsidRPr="00EA335D">
        <w:rPr>
          <w:szCs w:val="20"/>
        </w:rPr>
        <w:t xml:space="preserve"> out of NW control is obviously undesirable, as that definitely leads to overall performance degradation at a system level.</w:t>
      </w:r>
    </w:p>
    <w:p w14:paraId="11F297E5" w14:textId="77777777" w:rsidR="00CE7C6E" w:rsidRDefault="00CE7C6E" w:rsidP="00CE7C6E">
      <w:pPr>
        <w:spacing w:after="120"/>
        <w:rPr>
          <w:szCs w:val="20"/>
        </w:rPr>
      </w:pPr>
      <w:r>
        <w:rPr>
          <w:rFonts w:cs="Times New Roman"/>
          <w:szCs w:val="20"/>
        </w:rPr>
        <w:lastRenderedPageBreak/>
        <w:t xml:space="preserve">In comparison, this problem </w:t>
      </w:r>
      <w:r w:rsidRPr="00EA335D">
        <w:rPr>
          <w:szCs w:val="20"/>
        </w:rPr>
        <w:t>does not exist</w:t>
      </w:r>
      <w:r>
        <w:rPr>
          <w:szCs w:val="20"/>
        </w:rPr>
        <w:t xml:space="preserve"> in NR-U, as all the UEs served by the same </w:t>
      </w:r>
      <w:proofErr w:type="spellStart"/>
      <w:r>
        <w:rPr>
          <w:szCs w:val="20"/>
        </w:rPr>
        <w:t>gNB</w:t>
      </w:r>
      <w:proofErr w:type="spellEnd"/>
      <w:r>
        <w:rPr>
          <w:szCs w:val="20"/>
        </w:rPr>
        <w:t xml:space="preserve"> have to follow its configurations to determine the CAPC for non-standardized 5QIs related to the UL transmissions.</w:t>
      </w:r>
      <w:r w:rsidRPr="004B251E">
        <w:rPr>
          <w:szCs w:val="20"/>
        </w:rPr>
        <w:t xml:space="preserve"> </w:t>
      </w:r>
      <w:r w:rsidRPr="00EA335D">
        <w:rPr>
          <w:szCs w:val="20"/>
        </w:rPr>
        <w:t xml:space="preserve">With a uniform UE transmission behavior, </w:t>
      </w:r>
      <w:r>
        <w:rPr>
          <w:szCs w:val="20"/>
        </w:rPr>
        <w:t>fairness among UEs can be guaranteed. Moreover, the same treatment on the same non-standardized 5QI can ensure the overall system level performance.</w:t>
      </w:r>
    </w:p>
    <w:p w14:paraId="23F89180" w14:textId="1D366EFA" w:rsidR="00CE7C6E" w:rsidRPr="00CE7C6E" w:rsidRDefault="00CE7C6E" w:rsidP="00CE7C6E">
      <w:pPr>
        <w:pStyle w:val="Caption"/>
        <w:rPr>
          <w:b/>
          <w:szCs w:val="20"/>
        </w:rPr>
      </w:pPr>
      <w:bookmarkStart w:id="11" w:name="_Ref131761309"/>
      <w:r w:rsidRPr="00CE7C6E">
        <w:rPr>
          <w:b/>
        </w:rPr>
        <w:t xml:space="preserve">Observation </w:t>
      </w:r>
      <w:r w:rsidRPr="00CE7C6E">
        <w:rPr>
          <w:b/>
        </w:rPr>
        <w:fldChar w:fldCharType="begin"/>
      </w:r>
      <w:r w:rsidRPr="00CE7C6E">
        <w:rPr>
          <w:b/>
        </w:rPr>
        <w:instrText xml:space="preserve"> SEQ Observation \* ARABIC </w:instrText>
      </w:r>
      <w:r w:rsidRPr="00CE7C6E">
        <w:rPr>
          <w:b/>
        </w:rPr>
        <w:fldChar w:fldCharType="separate"/>
      </w:r>
      <w:r w:rsidR="001929A5">
        <w:rPr>
          <w:b/>
          <w:noProof/>
        </w:rPr>
        <w:t>1</w:t>
      </w:r>
      <w:r w:rsidRPr="00CE7C6E">
        <w:rPr>
          <w:b/>
        </w:rPr>
        <w:fldChar w:fldCharType="end"/>
      </w:r>
      <w:r w:rsidRPr="00CE7C6E">
        <w:rPr>
          <w:b/>
        </w:rPr>
        <w:t>: In NR-U, the UEs can rely on the NW to determine the CAPC of non-standardized 5QIs for which the UL transmissions serve. By contrast, the SL IDLE/INACTIVE/OOC UEs cannot expect the NW to configure CAPC for all non-standardized PQI.</w:t>
      </w:r>
      <w:bookmarkEnd w:id="11"/>
    </w:p>
    <w:p w14:paraId="2C9384F9" w14:textId="2875301C" w:rsidR="00133B5F" w:rsidRPr="00EB7A5A" w:rsidRDefault="00EB7A5A" w:rsidP="00EB7A5A">
      <w:pPr>
        <w:pStyle w:val="Caption"/>
        <w:rPr>
          <w:rFonts w:cs="Times New Roman"/>
          <w:b/>
          <w:szCs w:val="20"/>
        </w:rPr>
      </w:pPr>
      <w:bookmarkStart w:id="12" w:name="_Ref131761310"/>
      <w:r w:rsidRPr="00EB7A5A">
        <w:rPr>
          <w:b/>
        </w:rPr>
        <w:t xml:space="preserve">Observation </w:t>
      </w:r>
      <w:r w:rsidRPr="00EB7A5A">
        <w:rPr>
          <w:b/>
        </w:rPr>
        <w:fldChar w:fldCharType="begin"/>
      </w:r>
      <w:r w:rsidRPr="00EB7A5A">
        <w:rPr>
          <w:b/>
        </w:rPr>
        <w:instrText xml:space="preserve"> SEQ Observation \* ARABIC </w:instrText>
      </w:r>
      <w:r w:rsidRPr="00EB7A5A">
        <w:rPr>
          <w:b/>
        </w:rPr>
        <w:fldChar w:fldCharType="separate"/>
      </w:r>
      <w:r w:rsidR="001929A5">
        <w:rPr>
          <w:b/>
          <w:noProof/>
        </w:rPr>
        <w:t>2</w:t>
      </w:r>
      <w:r w:rsidRPr="00EB7A5A">
        <w:rPr>
          <w:b/>
        </w:rPr>
        <w:fldChar w:fldCharType="end"/>
      </w:r>
      <w:r w:rsidRPr="00EB7A5A">
        <w:rPr>
          <w:b/>
        </w:rPr>
        <w:t xml:space="preserve">: </w:t>
      </w:r>
      <w:r w:rsidR="00CE7C6E">
        <w:rPr>
          <w:b/>
        </w:rPr>
        <w:t>In SL-U, t</w:t>
      </w:r>
      <w:r w:rsidR="00457EF4" w:rsidRPr="00EB7A5A">
        <w:rPr>
          <w:b/>
          <w:szCs w:val="20"/>
        </w:rPr>
        <w:t>here can be inconsistent UE behaviors if it is up to UE implementation to determine the best-matched PQI for a non-standardized PQI</w:t>
      </w:r>
      <w:r w:rsidR="00197B54">
        <w:rPr>
          <w:b/>
          <w:szCs w:val="20"/>
        </w:rPr>
        <w:t xml:space="preserve"> in SL-U</w:t>
      </w:r>
      <w:r w:rsidR="00457EF4" w:rsidRPr="00EB7A5A">
        <w:rPr>
          <w:b/>
          <w:szCs w:val="20"/>
        </w:rPr>
        <w:t>.</w:t>
      </w:r>
      <w:bookmarkEnd w:id="12"/>
      <w:r w:rsidR="00457EF4" w:rsidRPr="00EB7A5A">
        <w:rPr>
          <w:b/>
          <w:szCs w:val="20"/>
        </w:rPr>
        <w:t xml:space="preserve"> </w:t>
      </w:r>
      <w:r w:rsidR="00457EF4" w:rsidRPr="00EB7A5A">
        <w:rPr>
          <w:rFonts w:cs="Times New Roman"/>
          <w:b/>
          <w:szCs w:val="20"/>
        </w:rPr>
        <w:t xml:space="preserve"> </w:t>
      </w:r>
    </w:p>
    <w:p w14:paraId="3EA6DA0A" w14:textId="6822E3E7" w:rsidR="00D161C3" w:rsidRPr="00E14384" w:rsidRDefault="00CE7C6E">
      <w:pPr>
        <w:spacing w:after="120"/>
        <w:rPr>
          <w:rFonts w:cs="Times New Roman"/>
          <w:szCs w:val="20"/>
        </w:rPr>
      </w:pPr>
      <w:r>
        <w:rPr>
          <w:rFonts w:eastAsia="等线"/>
          <w:bCs/>
          <w:iCs/>
        </w:rPr>
        <w:t>Since</w:t>
      </w:r>
      <w:r w:rsidR="00865621">
        <w:rPr>
          <w:rFonts w:eastAsia="等线"/>
          <w:bCs/>
          <w:iCs/>
        </w:rPr>
        <w:t xml:space="preserve"> the “CAPC to standardized PQI” mapping table is generally based on PDB, we think at least PDB can be used for the CAPC determination.</w:t>
      </w:r>
      <w:r w:rsidR="00865621" w:rsidRPr="00865621">
        <w:rPr>
          <w:rFonts w:eastAsia="等线"/>
          <w:bCs/>
          <w:iCs/>
        </w:rPr>
        <w:t xml:space="preserve"> </w:t>
      </w:r>
      <w:r w:rsidR="00865621">
        <w:rPr>
          <w:rFonts w:eastAsia="等线"/>
          <w:bCs/>
          <w:iCs/>
        </w:rPr>
        <w:t xml:space="preserve">For example, the UE use the CAPC of the </w:t>
      </w:r>
      <w:r w:rsidR="00865621" w:rsidRPr="00E47702">
        <w:rPr>
          <w:rFonts w:eastAsia="等线"/>
          <w:bCs/>
          <w:iCs/>
        </w:rPr>
        <w:t>standardized PQI</w:t>
      </w:r>
      <w:r w:rsidR="00865621">
        <w:rPr>
          <w:rFonts w:eastAsia="等线"/>
          <w:bCs/>
          <w:iCs/>
        </w:rPr>
        <w:t xml:space="preserve"> </w:t>
      </w:r>
      <w:r w:rsidR="00FC1FAA">
        <w:rPr>
          <w:rFonts w:eastAsia="等线"/>
          <w:bCs/>
          <w:iCs/>
        </w:rPr>
        <w:t xml:space="preserve">or the CAPC of the </w:t>
      </w:r>
      <w:r w:rsidR="00FC1FAA" w:rsidRPr="00FC1FAA">
        <w:rPr>
          <w:rFonts w:eastAsia="等线"/>
          <w:bCs/>
          <w:iCs/>
        </w:rPr>
        <w:t xml:space="preserve">non-standardized PQI configured in SIB/pre-configuration </w:t>
      </w:r>
      <w:r w:rsidR="00865621">
        <w:rPr>
          <w:rFonts w:eastAsia="等线"/>
          <w:bCs/>
          <w:iCs/>
        </w:rPr>
        <w:t xml:space="preserve">whose PDB is the closest to that of the </w:t>
      </w:r>
      <w:r w:rsidR="00865621" w:rsidRPr="00E47702">
        <w:rPr>
          <w:rFonts w:eastAsia="等线"/>
          <w:bCs/>
          <w:iCs/>
        </w:rPr>
        <w:t>non-standardized PQI</w:t>
      </w:r>
      <w:r w:rsidR="00865621">
        <w:rPr>
          <w:rFonts w:eastAsia="等线"/>
          <w:bCs/>
          <w:iCs/>
        </w:rPr>
        <w:t xml:space="preserve"> to be served</w:t>
      </w:r>
      <w:r w:rsidR="00FC1FAA">
        <w:rPr>
          <w:rFonts w:eastAsia="等线"/>
          <w:bCs/>
          <w:iCs/>
        </w:rPr>
        <w:t xml:space="preserve">. </w:t>
      </w:r>
    </w:p>
    <w:p w14:paraId="7A12ADB5" w14:textId="1166626C" w:rsidR="004B7F85" w:rsidRDefault="004B7F85">
      <w:pPr>
        <w:spacing w:after="120"/>
        <w:rPr>
          <w:szCs w:val="20"/>
        </w:rPr>
      </w:pPr>
      <w:r w:rsidRPr="004B7F85">
        <w:rPr>
          <w:rFonts w:hint="eastAsia"/>
          <w:szCs w:val="20"/>
        </w:rPr>
        <w:t>S</w:t>
      </w:r>
      <w:r w:rsidRPr="004B7F85">
        <w:rPr>
          <w:szCs w:val="20"/>
        </w:rPr>
        <w:t>ome</w:t>
      </w:r>
      <w:r w:rsidR="001929A5">
        <w:rPr>
          <w:szCs w:val="20"/>
        </w:rPr>
        <w:t xml:space="preserve"> company</w:t>
      </w:r>
      <w:r w:rsidRPr="004B7F85">
        <w:rPr>
          <w:szCs w:val="20"/>
        </w:rPr>
        <w:t xml:space="preserve"> at the last meeting raised the question that the CAPC to standardized PQI mapping </w:t>
      </w:r>
      <w:r w:rsidR="001929A5">
        <w:rPr>
          <w:szCs w:val="20"/>
        </w:rPr>
        <w:t xml:space="preserve">is </w:t>
      </w:r>
      <w:r w:rsidRPr="004B7F85">
        <w:rPr>
          <w:szCs w:val="20"/>
        </w:rPr>
        <w:t>based on the principle to best match the PDB requirement, and with such criteria not embodied in the Spec, why this principle needs to be reflected for non-standardized PQI.</w:t>
      </w:r>
      <w:r w:rsidR="0033574E">
        <w:rPr>
          <w:szCs w:val="20"/>
        </w:rPr>
        <w:t xml:space="preserve"> We assume such principle has been implicitly reflected by the CAPC-PQI mapping table because </w:t>
      </w:r>
      <w:r w:rsidR="00520008">
        <w:rPr>
          <w:szCs w:val="20"/>
        </w:rPr>
        <w:t xml:space="preserve">RAN2 determined </w:t>
      </w:r>
      <w:r w:rsidR="0033574E">
        <w:rPr>
          <w:szCs w:val="20"/>
        </w:rPr>
        <w:t xml:space="preserve">the table </w:t>
      </w:r>
      <w:r w:rsidR="00E60365">
        <w:rPr>
          <w:szCs w:val="20"/>
        </w:rPr>
        <w:t xml:space="preserve">is </w:t>
      </w:r>
      <w:r w:rsidR="0033574E">
        <w:rPr>
          <w:szCs w:val="20"/>
        </w:rPr>
        <w:t xml:space="preserve">mainly based on PDB. As we have observed that </w:t>
      </w:r>
      <w:r w:rsidR="0033574E" w:rsidRPr="0033574E">
        <w:rPr>
          <w:szCs w:val="20"/>
        </w:rPr>
        <w:t>the SL IDLE/INACTIVE/OOC UEs cannot expect the NW to configure CAPC for all non-standardized PQI</w:t>
      </w:r>
      <w:r w:rsidR="0033574E">
        <w:rPr>
          <w:szCs w:val="20"/>
        </w:rPr>
        <w:t>, it is</w:t>
      </w:r>
      <w:r w:rsidR="005D10D0">
        <w:rPr>
          <w:szCs w:val="20"/>
        </w:rPr>
        <w:t xml:space="preserve"> </w:t>
      </w:r>
      <w:r w:rsidR="0033574E">
        <w:rPr>
          <w:szCs w:val="20"/>
        </w:rPr>
        <w:t xml:space="preserve">necessary for this principle to be embodied for non-standardized PQI for </w:t>
      </w:r>
      <w:r w:rsidR="0033574E" w:rsidRPr="0033574E">
        <w:rPr>
          <w:szCs w:val="20"/>
        </w:rPr>
        <w:t>the SL IDLE/INACTIVE/OOC UEs</w:t>
      </w:r>
      <w:r w:rsidR="0033574E">
        <w:rPr>
          <w:szCs w:val="20"/>
        </w:rPr>
        <w:t>.</w:t>
      </w:r>
    </w:p>
    <w:p w14:paraId="2480FA0B" w14:textId="1730E4E4" w:rsidR="00B9010F" w:rsidRPr="00CE7C6E" w:rsidRDefault="00CE7C6E" w:rsidP="00CE7C6E">
      <w:pPr>
        <w:pStyle w:val="Caption"/>
        <w:rPr>
          <w:b/>
          <w:szCs w:val="20"/>
        </w:rPr>
      </w:pPr>
      <w:bookmarkStart w:id="13" w:name="_Ref131761313"/>
      <w:bookmarkStart w:id="14" w:name="OLE_LINK4"/>
      <w:r w:rsidRPr="00CE7C6E">
        <w:rPr>
          <w:b/>
        </w:rPr>
        <w:t xml:space="preserve">Proposal </w:t>
      </w:r>
      <w:r w:rsidRPr="00CE7C6E">
        <w:rPr>
          <w:b/>
        </w:rPr>
        <w:fldChar w:fldCharType="begin"/>
      </w:r>
      <w:r w:rsidRPr="00CE7C6E">
        <w:rPr>
          <w:b/>
        </w:rPr>
        <w:instrText xml:space="preserve"> SEQ Proposal \* ARABIC </w:instrText>
      </w:r>
      <w:r w:rsidRPr="00CE7C6E">
        <w:rPr>
          <w:b/>
        </w:rPr>
        <w:fldChar w:fldCharType="separate"/>
      </w:r>
      <w:r w:rsidR="005D10D0">
        <w:rPr>
          <w:b/>
          <w:noProof/>
        </w:rPr>
        <w:t>1</w:t>
      </w:r>
      <w:r w:rsidRPr="00CE7C6E">
        <w:rPr>
          <w:b/>
        </w:rPr>
        <w:fldChar w:fldCharType="end"/>
      </w:r>
      <w:r w:rsidRPr="00CE7C6E">
        <w:rPr>
          <w:b/>
        </w:rPr>
        <w:t xml:space="preserve">: </w:t>
      </w:r>
      <w:r w:rsidR="00520008" w:rsidRPr="00CE7C6E">
        <w:rPr>
          <w:b/>
          <w:szCs w:val="20"/>
        </w:rPr>
        <w:t>For an IDLE/INACTIVE/OOC UE, if the PC5 QoS flow of non-standardized PQI cannot be mapped to an SLRB with the per-bearer CAPC</w:t>
      </w:r>
      <w:r w:rsidR="00B9010F" w:rsidRPr="00CE7C6E">
        <w:rPr>
          <w:b/>
          <w:szCs w:val="20"/>
        </w:rPr>
        <w:t xml:space="preserve">, the UE determines the CAPC of this non-standardized PQI using the CAPC of the standardized PQI or the CAPC of non-standardized PQI configured in SIB/pre-configuration whose PDB is the closest to that of this non-standardized PQI. </w:t>
      </w:r>
      <w:r w:rsidR="000600B4" w:rsidRPr="000600B4">
        <w:rPr>
          <w:b/>
          <w:szCs w:val="20"/>
        </w:rPr>
        <w:t>For a standardized QoS flow, CAPC is directly derived from CAPC table.</w:t>
      </w:r>
      <w:bookmarkEnd w:id="13"/>
    </w:p>
    <w:bookmarkEnd w:id="14"/>
    <w:p w14:paraId="105DD074" w14:textId="1EB1028D" w:rsidR="004B7F85" w:rsidRDefault="005D10D0" w:rsidP="00CE7C6E">
      <w:pPr>
        <w:spacing w:after="120"/>
        <w:rPr>
          <w:szCs w:val="20"/>
        </w:rPr>
      </w:pPr>
      <w:r>
        <w:rPr>
          <w:szCs w:val="20"/>
        </w:rPr>
        <w:t>Moreover, i</w:t>
      </w:r>
      <w:r w:rsidR="00520008" w:rsidRPr="00CE7C6E">
        <w:rPr>
          <w:szCs w:val="20"/>
        </w:rPr>
        <w:t xml:space="preserve">t is possible that </w:t>
      </w:r>
      <w:r w:rsidR="00520008">
        <w:rPr>
          <w:szCs w:val="20"/>
        </w:rPr>
        <w:t xml:space="preserve">a </w:t>
      </w:r>
      <w:r w:rsidR="00520008" w:rsidRPr="00CE7C6E">
        <w:rPr>
          <w:szCs w:val="20"/>
        </w:rPr>
        <w:t>UE</w:t>
      </w:r>
      <w:r w:rsidR="00520008">
        <w:rPr>
          <w:szCs w:val="20"/>
        </w:rPr>
        <w:t xml:space="preserve"> can</w:t>
      </w:r>
      <w:r w:rsidR="00520008" w:rsidRPr="00CE7C6E">
        <w:rPr>
          <w:szCs w:val="20"/>
        </w:rPr>
        <w:t xml:space="preserve"> find more than one </w:t>
      </w:r>
      <w:r w:rsidR="00520008">
        <w:rPr>
          <w:szCs w:val="20"/>
        </w:rPr>
        <w:t>standardized PQIs having the same closest PDB to that of the non-standardized PQI</w:t>
      </w:r>
      <w:r w:rsidR="00520008" w:rsidRPr="00CE7C6E">
        <w:rPr>
          <w:szCs w:val="20"/>
        </w:rPr>
        <w:t xml:space="preserve">. </w:t>
      </w:r>
      <w:r w:rsidR="009D6763">
        <w:rPr>
          <w:szCs w:val="20"/>
        </w:rPr>
        <w:t xml:space="preserve">For example, </w:t>
      </w:r>
      <w:r w:rsidR="00035E20">
        <w:rPr>
          <w:szCs w:val="20"/>
        </w:rPr>
        <w:t>for most of the cases</w:t>
      </w:r>
      <w:r w:rsidR="009D6763">
        <w:rPr>
          <w:szCs w:val="20"/>
        </w:rPr>
        <w:t xml:space="preserve"> b</w:t>
      </w:r>
      <w:r w:rsidR="009D6763" w:rsidRPr="00CB43BD">
        <w:rPr>
          <w:szCs w:val="20"/>
        </w:rPr>
        <w:t>ased on the observation of table 1</w:t>
      </w:r>
      <w:r w:rsidR="00520008" w:rsidRPr="00CE7C6E">
        <w:rPr>
          <w:szCs w:val="20"/>
        </w:rPr>
        <w:t>, if the CAPC</w:t>
      </w:r>
      <w:r w:rsidR="009D6763">
        <w:rPr>
          <w:szCs w:val="20"/>
        </w:rPr>
        <w:t>s</w:t>
      </w:r>
      <w:r w:rsidR="00520008" w:rsidRPr="00CE7C6E">
        <w:rPr>
          <w:szCs w:val="20"/>
        </w:rPr>
        <w:t xml:space="preserve"> of </w:t>
      </w:r>
      <w:r w:rsidR="00035E20">
        <w:rPr>
          <w:szCs w:val="20"/>
        </w:rPr>
        <w:t>such standardized PQIs</w:t>
      </w:r>
      <w:r w:rsidR="009D6763">
        <w:rPr>
          <w:szCs w:val="20"/>
        </w:rPr>
        <w:t xml:space="preserve"> with the closest PDB</w:t>
      </w:r>
      <w:r w:rsidR="00520008" w:rsidRPr="00CE7C6E">
        <w:rPr>
          <w:szCs w:val="20"/>
        </w:rPr>
        <w:t xml:space="preserve"> are the same, there is no problem. If not, </w:t>
      </w:r>
      <w:r w:rsidR="00035E20">
        <w:rPr>
          <w:szCs w:val="20"/>
        </w:rPr>
        <w:t>the</w:t>
      </w:r>
      <w:r w:rsidR="00520008" w:rsidRPr="00CE7C6E">
        <w:rPr>
          <w:szCs w:val="20"/>
        </w:rPr>
        <w:t xml:space="preserve"> only two cases that need to be addressed</w:t>
      </w:r>
      <w:r w:rsidR="00035E20">
        <w:rPr>
          <w:szCs w:val="20"/>
        </w:rPr>
        <w:t xml:space="preserve"> is how the UE determines the CAPC from standardized PQI (24, 25, 26) and (25, 26, 61). For </w:t>
      </w:r>
      <w:r w:rsidR="002D2E30">
        <w:rPr>
          <w:szCs w:val="20"/>
        </w:rPr>
        <w:t>such cases, it can be FFS</w:t>
      </w:r>
      <w:r w:rsidR="002D2E30" w:rsidRPr="002D2E30">
        <w:rPr>
          <w:szCs w:val="20"/>
        </w:rPr>
        <w:t xml:space="preserve"> </w:t>
      </w:r>
      <w:r w:rsidR="002D2E30">
        <w:rPr>
          <w:szCs w:val="20"/>
        </w:rPr>
        <w:t xml:space="preserve">about how to determine the CAPC e.g. choose the higher or lower CAPC value, or even leave it to UE implementation as this is not often happening. </w:t>
      </w:r>
    </w:p>
    <w:p w14:paraId="16B300FA" w14:textId="23300515" w:rsidR="00E66AD6" w:rsidRPr="00CE7C6E" w:rsidRDefault="00E66AD6" w:rsidP="00CE7C6E">
      <w:pPr>
        <w:spacing w:after="120"/>
        <w:jc w:val="center"/>
        <w:rPr>
          <w:szCs w:val="20"/>
        </w:rPr>
      </w:pPr>
      <w:r w:rsidRPr="00061105">
        <w:rPr>
          <w:b/>
        </w:rPr>
        <w:t>Table. 1</w:t>
      </w:r>
      <w:r>
        <w:rPr>
          <w:b/>
        </w:rPr>
        <w:t>:</w:t>
      </w:r>
      <w:r w:rsidRPr="00061105">
        <w:rPr>
          <w:b/>
        </w:rPr>
        <w:t xml:space="preserve"> CAPC to standardized PQI mapping table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20"/>
        <w:gridCol w:w="3020"/>
        <w:gridCol w:w="3020"/>
      </w:tblGrid>
      <w:tr w:rsidR="009C5AE8" w14:paraId="52307450" w14:textId="77777777" w:rsidTr="009C5AE8">
        <w:tc>
          <w:tcPr>
            <w:tcW w:w="3020" w:type="dxa"/>
            <w:shd w:val="clear" w:color="auto" w:fill="BFBFBF" w:themeFill="background1" w:themeFillShade="BF"/>
          </w:tcPr>
          <w:p w14:paraId="067A6260" w14:textId="250B9CDF" w:rsidR="009C5AE8" w:rsidRDefault="00061105" w:rsidP="009C5AE8">
            <w:pPr>
              <w:jc w:val="center"/>
            </w:pPr>
            <w:r>
              <w:t xml:space="preserve">standardized </w:t>
            </w:r>
            <w:r w:rsidR="009C5AE8" w:rsidRPr="00CB5EC9">
              <w:t>PQI</w:t>
            </w:r>
            <w:r w:rsidR="009C5AE8">
              <w:t xml:space="preserve"> </w:t>
            </w:r>
            <w:r w:rsidR="009C5AE8" w:rsidRPr="00CB5EC9">
              <w:t>Value</w:t>
            </w:r>
          </w:p>
        </w:tc>
        <w:tc>
          <w:tcPr>
            <w:tcW w:w="3020" w:type="dxa"/>
            <w:shd w:val="clear" w:color="auto" w:fill="BFBFBF" w:themeFill="background1" w:themeFillShade="BF"/>
          </w:tcPr>
          <w:p w14:paraId="201CC303" w14:textId="601CFCF5" w:rsidR="009C5AE8" w:rsidRDefault="009C5AE8" w:rsidP="009C5AE8">
            <w:pPr>
              <w:jc w:val="center"/>
            </w:pPr>
            <w:r w:rsidRPr="00CB5EC9">
              <w:t>Packet Delay Budget</w:t>
            </w:r>
          </w:p>
        </w:tc>
        <w:tc>
          <w:tcPr>
            <w:tcW w:w="3020" w:type="dxa"/>
            <w:shd w:val="clear" w:color="auto" w:fill="BFBFBF" w:themeFill="background1" w:themeFillShade="BF"/>
          </w:tcPr>
          <w:p w14:paraId="0A71FE2B" w14:textId="1B6DFCD8" w:rsidR="009C5AE8" w:rsidRDefault="009C5AE8" w:rsidP="009C5AE8">
            <w:pPr>
              <w:jc w:val="center"/>
            </w:pPr>
            <w:r>
              <w:t>CAPC level</w:t>
            </w:r>
          </w:p>
        </w:tc>
      </w:tr>
      <w:tr w:rsidR="009C5AE8" w14:paraId="2BDA4792" w14:textId="77777777" w:rsidTr="00643B21">
        <w:tc>
          <w:tcPr>
            <w:tcW w:w="3020" w:type="dxa"/>
            <w:shd w:val="clear" w:color="auto" w:fill="C5E0B3" w:themeFill="accent6" w:themeFillTint="66"/>
          </w:tcPr>
          <w:p w14:paraId="27EAFFD9" w14:textId="3C952B84" w:rsidR="009C5AE8" w:rsidRDefault="009C5AE8" w:rsidP="009C5AE8">
            <w:pPr>
              <w:jc w:val="center"/>
            </w:pPr>
            <w:r w:rsidRPr="00CB5EC9">
              <w:t>24</w:t>
            </w:r>
          </w:p>
        </w:tc>
        <w:tc>
          <w:tcPr>
            <w:tcW w:w="3020" w:type="dxa"/>
            <w:shd w:val="clear" w:color="auto" w:fill="C5E0B3" w:themeFill="accent6" w:themeFillTint="66"/>
          </w:tcPr>
          <w:p w14:paraId="7D65F90D" w14:textId="41B3315B" w:rsidR="009C5AE8" w:rsidRDefault="009C5AE8" w:rsidP="009C5AE8">
            <w:pPr>
              <w:jc w:val="center"/>
            </w:pPr>
            <w:r w:rsidRPr="00CB5EC9">
              <w:t>150ms</w:t>
            </w:r>
          </w:p>
        </w:tc>
        <w:tc>
          <w:tcPr>
            <w:tcW w:w="3020" w:type="dxa"/>
            <w:shd w:val="clear" w:color="auto" w:fill="C5E0B3" w:themeFill="accent6" w:themeFillTint="66"/>
          </w:tcPr>
          <w:p w14:paraId="4C106407" w14:textId="52D4DA36" w:rsidR="009C5AE8" w:rsidRDefault="009C5AE8" w:rsidP="009C5AE8">
            <w:pPr>
              <w:jc w:val="center"/>
            </w:pPr>
            <w:r>
              <w:t>1</w:t>
            </w:r>
          </w:p>
        </w:tc>
      </w:tr>
      <w:tr w:rsidR="009C5AE8" w14:paraId="76D25784" w14:textId="77777777" w:rsidTr="00643B21">
        <w:tc>
          <w:tcPr>
            <w:tcW w:w="3020" w:type="dxa"/>
            <w:shd w:val="clear" w:color="auto" w:fill="BDD6EE" w:themeFill="accent5" w:themeFillTint="66"/>
          </w:tcPr>
          <w:p w14:paraId="6FF87C82" w14:textId="543415C8" w:rsidR="009C5AE8" w:rsidRDefault="009C5AE8" w:rsidP="009C5AE8">
            <w:pPr>
              <w:jc w:val="center"/>
            </w:pPr>
            <w:r w:rsidRPr="00CB5EC9">
              <w:t>25</w:t>
            </w:r>
          </w:p>
        </w:tc>
        <w:tc>
          <w:tcPr>
            <w:tcW w:w="3020" w:type="dxa"/>
            <w:shd w:val="clear" w:color="auto" w:fill="BDD6EE" w:themeFill="accent5" w:themeFillTint="66"/>
          </w:tcPr>
          <w:p w14:paraId="2ACD8A94" w14:textId="6D348DCB" w:rsidR="009C5AE8" w:rsidRDefault="009C5AE8" w:rsidP="009C5AE8">
            <w:pPr>
              <w:jc w:val="center"/>
            </w:pPr>
            <w:r w:rsidRPr="00CB5EC9">
              <w:t>200ms</w:t>
            </w:r>
          </w:p>
        </w:tc>
        <w:tc>
          <w:tcPr>
            <w:tcW w:w="3020" w:type="dxa"/>
            <w:shd w:val="clear" w:color="auto" w:fill="BDD6EE" w:themeFill="accent5" w:themeFillTint="66"/>
          </w:tcPr>
          <w:p w14:paraId="2A4A1347" w14:textId="1430936B" w:rsidR="009C5AE8" w:rsidRDefault="009C5AE8" w:rsidP="009C5AE8">
            <w:pPr>
              <w:jc w:val="center"/>
            </w:pPr>
            <w:r>
              <w:t>2</w:t>
            </w:r>
          </w:p>
        </w:tc>
      </w:tr>
      <w:tr w:rsidR="009C5AE8" w14:paraId="442BB525" w14:textId="77777777" w:rsidTr="00643B21">
        <w:tc>
          <w:tcPr>
            <w:tcW w:w="3020" w:type="dxa"/>
            <w:shd w:val="clear" w:color="auto" w:fill="C5E0B3" w:themeFill="accent6" w:themeFillTint="66"/>
          </w:tcPr>
          <w:p w14:paraId="7E746327" w14:textId="26942E4A" w:rsidR="009C5AE8" w:rsidRDefault="009C5AE8" w:rsidP="009C5AE8">
            <w:pPr>
              <w:jc w:val="center"/>
            </w:pPr>
            <w:r w:rsidRPr="00CB5EC9">
              <w:t>26</w:t>
            </w:r>
          </w:p>
        </w:tc>
        <w:tc>
          <w:tcPr>
            <w:tcW w:w="3020" w:type="dxa"/>
            <w:shd w:val="clear" w:color="auto" w:fill="C5E0B3" w:themeFill="accent6" w:themeFillTint="66"/>
          </w:tcPr>
          <w:p w14:paraId="520CC747" w14:textId="1DC08C20" w:rsidR="009C5AE8" w:rsidRDefault="009C5AE8" w:rsidP="009C5AE8">
            <w:pPr>
              <w:jc w:val="center"/>
            </w:pPr>
            <w:r w:rsidRPr="00CB5EC9">
              <w:t>200ms</w:t>
            </w:r>
          </w:p>
        </w:tc>
        <w:tc>
          <w:tcPr>
            <w:tcW w:w="3020" w:type="dxa"/>
            <w:shd w:val="clear" w:color="auto" w:fill="C5E0B3" w:themeFill="accent6" w:themeFillTint="66"/>
          </w:tcPr>
          <w:p w14:paraId="4F45CF3A" w14:textId="63151FB7" w:rsidR="009C5AE8" w:rsidRDefault="009C5AE8" w:rsidP="009C5AE8">
            <w:pPr>
              <w:jc w:val="center"/>
            </w:pPr>
            <w:r>
              <w:t>1</w:t>
            </w:r>
          </w:p>
        </w:tc>
      </w:tr>
      <w:tr w:rsidR="009C5AE8" w14:paraId="6390AAD2" w14:textId="77777777" w:rsidTr="009C5AE8">
        <w:tc>
          <w:tcPr>
            <w:tcW w:w="3020" w:type="dxa"/>
          </w:tcPr>
          <w:p w14:paraId="5BD11472" w14:textId="029031F2" w:rsidR="009C5AE8" w:rsidRDefault="009C5AE8" w:rsidP="009C5AE8">
            <w:pPr>
              <w:jc w:val="center"/>
            </w:pPr>
            <w:r w:rsidRPr="00CB5EC9">
              <w:t>60</w:t>
            </w:r>
          </w:p>
        </w:tc>
        <w:tc>
          <w:tcPr>
            <w:tcW w:w="3020" w:type="dxa"/>
          </w:tcPr>
          <w:p w14:paraId="7F0A489B" w14:textId="70D8CD61" w:rsidR="009C5AE8" w:rsidRDefault="009C5AE8" w:rsidP="009C5AE8">
            <w:pPr>
              <w:jc w:val="center"/>
            </w:pPr>
            <w:r w:rsidRPr="00CB5EC9">
              <w:t>120ms</w:t>
            </w:r>
          </w:p>
        </w:tc>
        <w:tc>
          <w:tcPr>
            <w:tcW w:w="3020" w:type="dxa"/>
          </w:tcPr>
          <w:p w14:paraId="4890516D" w14:textId="7A62A041" w:rsidR="009C5AE8" w:rsidRDefault="009C5AE8" w:rsidP="009C5AE8">
            <w:pPr>
              <w:jc w:val="center"/>
            </w:pPr>
            <w:r>
              <w:t>1</w:t>
            </w:r>
          </w:p>
        </w:tc>
      </w:tr>
      <w:tr w:rsidR="009C5AE8" w14:paraId="56F69CFB" w14:textId="77777777" w:rsidTr="009C5AE8">
        <w:tc>
          <w:tcPr>
            <w:tcW w:w="3020" w:type="dxa"/>
            <w:shd w:val="clear" w:color="auto" w:fill="FFE599" w:themeFill="accent4" w:themeFillTint="66"/>
          </w:tcPr>
          <w:p w14:paraId="3FF62D87" w14:textId="24A24D59" w:rsidR="009C5AE8" w:rsidRDefault="009C5AE8" w:rsidP="009C5AE8">
            <w:pPr>
              <w:jc w:val="center"/>
            </w:pPr>
            <w:r w:rsidRPr="00CB5EC9">
              <w:t>61</w:t>
            </w:r>
          </w:p>
        </w:tc>
        <w:tc>
          <w:tcPr>
            <w:tcW w:w="3020" w:type="dxa"/>
            <w:shd w:val="clear" w:color="auto" w:fill="FFE599" w:themeFill="accent4" w:themeFillTint="66"/>
          </w:tcPr>
          <w:p w14:paraId="623D7BD1" w14:textId="017E220F" w:rsidR="009C5AE8" w:rsidRDefault="009C5AE8" w:rsidP="009C5AE8">
            <w:pPr>
              <w:jc w:val="center"/>
            </w:pPr>
            <w:r w:rsidRPr="00CB5EC9">
              <w:t>400ms</w:t>
            </w:r>
          </w:p>
        </w:tc>
        <w:tc>
          <w:tcPr>
            <w:tcW w:w="3020" w:type="dxa"/>
            <w:shd w:val="clear" w:color="auto" w:fill="FFE599" w:themeFill="accent4" w:themeFillTint="66"/>
          </w:tcPr>
          <w:p w14:paraId="6BC3F0B7" w14:textId="5EED3AF1" w:rsidR="009C5AE8" w:rsidRDefault="009C5AE8" w:rsidP="009C5AE8">
            <w:pPr>
              <w:jc w:val="center"/>
            </w:pPr>
            <w:r>
              <w:t>3</w:t>
            </w:r>
          </w:p>
        </w:tc>
      </w:tr>
      <w:tr w:rsidR="009C5AE8" w14:paraId="4BE4503F" w14:textId="77777777" w:rsidTr="009C5AE8">
        <w:tc>
          <w:tcPr>
            <w:tcW w:w="3020" w:type="dxa"/>
          </w:tcPr>
          <w:p w14:paraId="4DF136CE" w14:textId="4DFB10CF" w:rsidR="009C5AE8" w:rsidRDefault="009C5AE8" w:rsidP="009C5AE8">
            <w:pPr>
              <w:jc w:val="center"/>
            </w:pPr>
            <w:r w:rsidRPr="00CB5EC9">
              <w:t>92</w:t>
            </w:r>
          </w:p>
        </w:tc>
        <w:tc>
          <w:tcPr>
            <w:tcW w:w="3020" w:type="dxa"/>
          </w:tcPr>
          <w:p w14:paraId="39D04CB6" w14:textId="33C0B1A9" w:rsidR="009C5AE8" w:rsidRDefault="009C5AE8" w:rsidP="009C5AE8">
            <w:pPr>
              <w:jc w:val="center"/>
            </w:pPr>
            <w:r w:rsidRPr="00CB5EC9">
              <w:t>5ms</w:t>
            </w:r>
          </w:p>
        </w:tc>
        <w:tc>
          <w:tcPr>
            <w:tcW w:w="3020" w:type="dxa"/>
          </w:tcPr>
          <w:p w14:paraId="071BADB9" w14:textId="026C7FC8" w:rsidR="009C5AE8" w:rsidRDefault="009C5AE8" w:rsidP="009C5AE8">
            <w:pPr>
              <w:jc w:val="center"/>
            </w:pPr>
            <w:r>
              <w:t>1</w:t>
            </w:r>
          </w:p>
        </w:tc>
      </w:tr>
      <w:tr w:rsidR="009C5AE8" w14:paraId="09B13A9A" w14:textId="77777777" w:rsidTr="009C5AE8">
        <w:tc>
          <w:tcPr>
            <w:tcW w:w="3020" w:type="dxa"/>
          </w:tcPr>
          <w:p w14:paraId="10E76A04" w14:textId="176ED7E7" w:rsidR="009C5AE8" w:rsidRDefault="009C5AE8" w:rsidP="009C5AE8">
            <w:pPr>
              <w:jc w:val="center"/>
            </w:pPr>
            <w:r w:rsidRPr="00CB5EC9">
              <w:t>93</w:t>
            </w:r>
          </w:p>
        </w:tc>
        <w:tc>
          <w:tcPr>
            <w:tcW w:w="3020" w:type="dxa"/>
          </w:tcPr>
          <w:p w14:paraId="18DAC8DD" w14:textId="125D6DE6" w:rsidR="009C5AE8" w:rsidRDefault="009C5AE8" w:rsidP="009C5AE8">
            <w:pPr>
              <w:jc w:val="center"/>
            </w:pPr>
            <w:r w:rsidRPr="00CB5EC9">
              <w:t>10ms</w:t>
            </w:r>
          </w:p>
        </w:tc>
        <w:tc>
          <w:tcPr>
            <w:tcW w:w="3020" w:type="dxa"/>
          </w:tcPr>
          <w:p w14:paraId="1C587C9C" w14:textId="254DC4C8" w:rsidR="009C5AE8" w:rsidRDefault="009C5AE8" w:rsidP="009C5AE8">
            <w:pPr>
              <w:jc w:val="center"/>
            </w:pPr>
            <w:r>
              <w:t>1</w:t>
            </w:r>
          </w:p>
        </w:tc>
      </w:tr>
      <w:tr w:rsidR="009C5AE8" w14:paraId="196D90B9" w14:textId="77777777" w:rsidTr="009C5AE8">
        <w:tc>
          <w:tcPr>
            <w:tcW w:w="3020" w:type="dxa"/>
          </w:tcPr>
          <w:p w14:paraId="6F21D5D2" w14:textId="3382F749" w:rsidR="009C5AE8" w:rsidRDefault="009C5AE8" w:rsidP="009C5AE8">
            <w:pPr>
              <w:jc w:val="center"/>
            </w:pPr>
            <w:r>
              <w:t>2</w:t>
            </w:r>
            <w:r w:rsidRPr="00490934">
              <w:t>1</w:t>
            </w:r>
          </w:p>
        </w:tc>
        <w:tc>
          <w:tcPr>
            <w:tcW w:w="3020" w:type="dxa"/>
          </w:tcPr>
          <w:p w14:paraId="0014DC1E" w14:textId="42558210" w:rsidR="009C5AE8" w:rsidRDefault="009C5AE8" w:rsidP="009C5AE8">
            <w:pPr>
              <w:jc w:val="center"/>
            </w:pPr>
            <w:r w:rsidRPr="00490934">
              <w:t>20ms</w:t>
            </w:r>
          </w:p>
        </w:tc>
        <w:tc>
          <w:tcPr>
            <w:tcW w:w="3020" w:type="dxa"/>
          </w:tcPr>
          <w:p w14:paraId="3B4D2412" w14:textId="656B71C8" w:rsidR="009C5AE8" w:rsidRDefault="009C5AE8" w:rsidP="009C5AE8">
            <w:pPr>
              <w:jc w:val="center"/>
            </w:pPr>
            <w:r>
              <w:t>1</w:t>
            </w:r>
          </w:p>
        </w:tc>
      </w:tr>
      <w:tr w:rsidR="009C5AE8" w14:paraId="41EC75AC" w14:textId="77777777" w:rsidTr="009C5AE8">
        <w:tc>
          <w:tcPr>
            <w:tcW w:w="3020" w:type="dxa"/>
          </w:tcPr>
          <w:p w14:paraId="1B55C394" w14:textId="65F8FAEB" w:rsidR="009C5AE8" w:rsidRDefault="009C5AE8" w:rsidP="009C5AE8">
            <w:pPr>
              <w:jc w:val="center"/>
            </w:pPr>
            <w:r>
              <w:lastRenderedPageBreak/>
              <w:t>2</w:t>
            </w:r>
            <w:r w:rsidRPr="00490934">
              <w:t>2</w:t>
            </w:r>
          </w:p>
        </w:tc>
        <w:tc>
          <w:tcPr>
            <w:tcW w:w="3020" w:type="dxa"/>
          </w:tcPr>
          <w:p w14:paraId="443CCB59" w14:textId="1BBEED7A" w:rsidR="009C5AE8" w:rsidRDefault="009C5AE8" w:rsidP="009C5AE8">
            <w:pPr>
              <w:jc w:val="center"/>
            </w:pPr>
            <w:r w:rsidRPr="00490934">
              <w:t>50ms</w:t>
            </w:r>
          </w:p>
        </w:tc>
        <w:tc>
          <w:tcPr>
            <w:tcW w:w="3020" w:type="dxa"/>
          </w:tcPr>
          <w:p w14:paraId="6B51F337" w14:textId="06A92E93" w:rsidR="009C5AE8" w:rsidRDefault="009C5AE8" w:rsidP="009C5AE8">
            <w:pPr>
              <w:jc w:val="center"/>
            </w:pPr>
            <w:r>
              <w:t>1</w:t>
            </w:r>
          </w:p>
        </w:tc>
      </w:tr>
      <w:tr w:rsidR="009C5AE8" w14:paraId="6554CDAF" w14:textId="77777777" w:rsidTr="009C5AE8">
        <w:tc>
          <w:tcPr>
            <w:tcW w:w="3020" w:type="dxa"/>
          </w:tcPr>
          <w:p w14:paraId="276B2885" w14:textId="236C7B4C" w:rsidR="009C5AE8" w:rsidRDefault="009C5AE8" w:rsidP="009C5AE8">
            <w:pPr>
              <w:jc w:val="center"/>
            </w:pPr>
            <w:r>
              <w:t>2</w:t>
            </w:r>
            <w:r w:rsidRPr="00490934">
              <w:t>3</w:t>
            </w:r>
          </w:p>
        </w:tc>
        <w:tc>
          <w:tcPr>
            <w:tcW w:w="3020" w:type="dxa"/>
          </w:tcPr>
          <w:p w14:paraId="54FE3268" w14:textId="13C2C770" w:rsidR="009C5AE8" w:rsidRDefault="009C5AE8" w:rsidP="009C5AE8">
            <w:pPr>
              <w:jc w:val="center"/>
            </w:pPr>
            <w:r w:rsidRPr="00490934">
              <w:t>100ms</w:t>
            </w:r>
          </w:p>
        </w:tc>
        <w:tc>
          <w:tcPr>
            <w:tcW w:w="3020" w:type="dxa"/>
          </w:tcPr>
          <w:p w14:paraId="36E0B38C" w14:textId="3269C956" w:rsidR="009C5AE8" w:rsidRDefault="009C5AE8" w:rsidP="009C5AE8">
            <w:pPr>
              <w:jc w:val="center"/>
            </w:pPr>
            <w:r>
              <w:t>1</w:t>
            </w:r>
          </w:p>
        </w:tc>
      </w:tr>
      <w:tr w:rsidR="009C5AE8" w14:paraId="3F636A4C" w14:textId="77777777" w:rsidTr="009C5AE8">
        <w:tc>
          <w:tcPr>
            <w:tcW w:w="3020" w:type="dxa"/>
          </w:tcPr>
          <w:p w14:paraId="0163ABE3" w14:textId="1F5DC42E" w:rsidR="009C5AE8" w:rsidRDefault="009C5AE8" w:rsidP="009C5AE8">
            <w:pPr>
              <w:jc w:val="center"/>
            </w:pPr>
            <w:r w:rsidRPr="00490934">
              <w:t>55</w:t>
            </w:r>
          </w:p>
        </w:tc>
        <w:tc>
          <w:tcPr>
            <w:tcW w:w="3020" w:type="dxa"/>
          </w:tcPr>
          <w:p w14:paraId="67C5D9DC" w14:textId="6589A343" w:rsidR="009C5AE8" w:rsidRDefault="009C5AE8" w:rsidP="009C5AE8">
            <w:pPr>
              <w:jc w:val="center"/>
            </w:pPr>
            <w:r w:rsidRPr="00490934">
              <w:t>10ms</w:t>
            </w:r>
          </w:p>
        </w:tc>
        <w:tc>
          <w:tcPr>
            <w:tcW w:w="3020" w:type="dxa"/>
          </w:tcPr>
          <w:p w14:paraId="2C43C82E" w14:textId="751A054C" w:rsidR="009C5AE8" w:rsidRDefault="009C5AE8" w:rsidP="009C5AE8">
            <w:pPr>
              <w:jc w:val="center"/>
            </w:pPr>
            <w:r>
              <w:t>1</w:t>
            </w:r>
          </w:p>
        </w:tc>
      </w:tr>
      <w:tr w:rsidR="009C5AE8" w14:paraId="7A47D342" w14:textId="77777777" w:rsidTr="009C5AE8">
        <w:tc>
          <w:tcPr>
            <w:tcW w:w="3020" w:type="dxa"/>
          </w:tcPr>
          <w:p w14:paraId="63F1BA6D" w14:textId="024A33C4" w:rsidR="009C5AE8" w:rsidRDefault="009C5AE8" w:rsidP="009C5AE8">
            <w:pPr>
              <w:jc w:val="center"/>
            </w:pPr>
            <w:r w:rsidRPr="00490934">
              <w:t>56</w:t>
            </w:r>
          </w:p>
        </w:tc>
        <w:tc>
          <w:tcPr>
            <w:tcW w:w="3020" w:type="dxa"/>
          </w:tcPr>
          <w:p w14:paraId="4B89D91D" w14:textId="73B0A31E" w:rsidR="009C5AE8" w:rsidRDefault="009C5AE8" w:rsidP="009C5AE8">
            <w:pPr>
              <w:jc w:val="center"/>
            </w:pPr>
            <w:r w:rsidRPr="00490934">
              <w:t>20ms</w:t>
            </w:r>
          </w:p>
        </w:tc>
        <w:tc>
          <w:tcPr>
            <w:tcW w:w="3020" w:type="dxa"/>
          </w:tcPr>
          <w:p w14:paraId="025B0E7F" w14:textId="5A6EA997" w:rsidR="009C5AE8" w:rsidRDefault="009C5AE8" w:rsidP="009C5AE8">
            <w:pPr>
              <w:jc w:val="center"/>
            </w:pPr>
            <w:r>
              <w:t>1</w:t>
            </w:r>
          </w:p>
        </w:tc>
      </w:tr>
      <w:tr w:rsidR="009C5AE8" w14:paraId="52F68351" w14:textId="77777777" w:rsidTr="009C5AE8">
        <w:tc>
          <w:tcPr>
            <w:tcW w:w="3020" w:type="dxa"/>
          </w:tcPr>
          <w:p w14:paraId="308082DE" w14:textId="626CE1CA" w:rsidR="009C5AE8" w:rsidRDefault="009C5AE8" w:rsidP="009C5AE8">
            <w:pPr>
              <w:jc w:val="center"/>
            </w:pPr>
            <w:r w:rsidRPr="00490934">
              <w:t>57</w:t>
            </w:r>
          </w:p>
        </w:tc>
        <w:tc>
          <w:tcPr>
            <w:tcW w:w="3020" w:type="dxa"/>
          </w:tcPr>
          <w:p w14:paraId="4D293AD1" w14:textId="6C493567" w:rsidR="009C5AE8" w:rsidRDefault="009C5AE8" w:rsidP="009C5AE8">
            <w:pPr>
              <w:jc w:val="center"/>
            </w:pPr>
            <w:r w:rsidRPr="00490934">
              <w:t>25ms</w:t>
            </w:r>
          </w:p>
        </w:tc>
        <w:tc>
          <w:tcPr>
            <w:tcW w:w="3020" w:type="dxa"/>
          </w:tcPr>
          <w:p w14:paraId="41C2384C" w14:textId="6DF82E91" w:rsidR="009C5AE8" w:rsidRDefault="009C5AE8" w:rsidP="009C5AE8">
            <w:pPr>
              <w:jc w:val="center"/>
            </w:pPr>
            <w:r>
              <w:t>1</w:t>
            </w:r>
          </w:p>
        </w:tc>
      </w:tr>
      <w:tr w:rsidR="009C5AE8" w14:paraId="7D99FF49" w14:textId="77777777" w:rsidTr="009C5AE8">
        <w:tc>
          <w:tcPr>
            <w:tcW w:w="3020" w:type="dxa"/>
          </w:tcPr>
          <w:p w14:paraId="56188DBF" w14:textId="651F6FC1" w:rsidR="009C5AE8" w:rsidRDefault="009C5AE8" w:rsidP="009C5AE8">
            <w:pPr>
              <w:jc w:val="center"/>
            </w:pPr>
            <w:r w:rsidRPr="00490934">
              <w:t>58</w:t>
            </w:r>
          </w:p>
        </w:tc>
        <w:tc>
          <w:tcPr>
            <w:tcW w:w="3020" w:type="dxa"/>
          </w:tcPr>
          <w:p w14:paraId="0702B1A1" w14:textId="020F1B5B" w:rsidR="009C5AE8" w:rsidRDefault="009C5AE8" w:rsidP="009C5AE8">
            <w:pPr>
              <w:jc w:val="center"/>
            </w:pPr>
            <w:r w:rsidRPr="00490934">
              <w:t>100ms</w:t>
            </w:r>
          </w:p>
        </w:tc>
        <w:tc>
          <w:tcPr>
            <w:tcW w:w="3020" w:type="dxa"/>
          </w:tcPr>
          <w:p w14:paraId="0D652DC8" w14:textId="1899162D" w:rsidR="009C5AE8" w:rsidRDefault="009C5AE8" w:rsidP="009C5AE8">
            <w:pPr>
              <w:jc w:val="center"/>
            </w:pPr>
            <w:r>
              <w:t>1</w:t>
            </w:r>
          </w:p>
        </w:tc>
      </w:tr>
      <w:tr w:rsidR="009C5AE8" w14:paraId="03618EAE" w14:textId="77777777" w:rsidTr="00CE7C6E">
        <w:tc>
          <w:tcPr>
            <w:tcW w:w="3020" w:type="dxa"/>
            <w:shd w:val="clear" w:color="auto" w:fill="auto"/>
          </w:tcPr>
          <w:p w14:paraId="17E3851D" w14:textId="43F484F5" w:rsidR="009C5AE8" w:rsidRDefault="009C5AE8" w:rsidP="009C5AE8">
            <w:pPr>
              <w:jc w:val="center"/>
            </w:pPr>
            <w:r w:rsidRPr="00490934">
              <w:t>59</w:t>
            </w:r>
          </w:p>
        </w:tc>
        <w:tc>
          <w:tcPr>
            <w:tcW w:w="3020" w:type="dxa"/>
            <w:shd w:val="clear" w:color="auto" w:fill="auto"/>
          </w:tcPr>
          <w:p w14:paraId="0E766B1A" w14:textId="169D75DC" w:rsidR="009C5AE8" w:rsidRDefault="009C5AE8" w:rsidP="009C5AE8">
            <w:pPr>
              <w:jc w:val="center"/>
            </w:pPr>
            <w:r w:rsidRPr="00490934">
              <w:t>500ms</w:t>
            </w:r>
          </w:p>
        </w:tc>
        <w:tc>
          <w:tcPr>
            <w:tcW w:w="3020" w:type="dxa"/>
            <w:shd w:val="clear" w:color="auto" w:fill="auto"/>
          </w:tcPr>
          <w:p w14:paraId="6FF77572" w14:textId="31BF3E02" w:rsidR="009C5AE8" w:rsidRDefault="009C5AE8" w:rsidP="009C5AE8">
            <w:pPr>
              <w:jc w:val="center"/>
            </w:pPr>
            <w:r>
              <w:t>3</w:t>
            </w:r>
          </w:p>
        </w:tc>
      </w:tr>
      <w:tr w:rsidR="009C5AE8" w14:paraId="5E0CFAC7" w14:textId="77777777" w:rsidTr="009C5AE8">
        <w:tc>
          <w:tcPr>
            <w:tcW w:w="3020" w:type="dxa"/>
          </w:tcPr>
          <w:p w14:paraId="50AB4ADA" w14:textId="10BA9857" w:rsidR="009C5AE8" w:rsidRDefault="009C5AE8" w:rsidP="009C5AE8">
            <w:pPr>
              <w:jc w:val="center"/>
            </w:pPr>
            <w:r>
              <w:t>90</w:t>
            </w:r>
          </w:p>
        </w:tc>
        <w:tc>
          <w:tcPr>
            <w:tcW w:w="3020" w:type="dxa"/>
          </w:tcPr>
          <w:p w14:paraId="56637C63" w14:textId="6172EB44" w:rsidR="009C5AE8" w:rsidRDefault="009C5AE8" w:rsidP="009C5AE8">
            <w:pPr>
              <w:jc w:val="center"/>
            </w:pPr>
            <w:r w:rsidRPr="00490934">
              <w:t>10ms</w:t>
            </w:r>
          </w:p>
        </w:tc>
        <w:tc>
          <w:tcPr>
            <w:tcW w:w="3020" w:type="dxa"/>
          </w:tcPr>
          <w:p w14:paraId="41A7D115" w14:textId="10B8693F" w:rsidR="009C5AE8" w:rsidRDefault="009C5AE8" w:rsidP="009C5AE8">
            <w:pPr>
              <w:jc w:val="center"/>
            </w:pPr>
            <w:r>
              <w:t>1</w:t>
            </w:r>
          </w:p>
        </w:tc>
      </w:tr>
      <w:tr w:rsidR="009C5AE8" w14:paraId="19065426" w14:textId="77777777" w:rsidTr="009C5AE8">
        <w:tc>
          <w:tcPr>
            <w:tcW w:w="3020" w:type="dxa"/>
          </w:tcPr>
          <w:p w14:paraId="32FD9091" w14:textId="0DAA4BB0" w:rsidR="009C5AE8" w:rsidRDefault="009C5AE8" w:rsidP="009C5AE8">
            <w:pPr>
              <w:jc w:val="center"/>
            </w:pPr>
            <w:r>
              <w:t>91</w:t>
            </w:r>
          </w:p>
        </w:tc>
        <w:tc>
          <w:tcPr>
            <w:tcW w:w="3020" w:type="dxa"/>
          </w:tcPr>
          <w:p w14:paraId="449FD036" w14:textId="59266272" w:rsidR="009C5AE8" w:rsidRDefault="009C5AE8" w:rsidP="009C5AE8">
            <w:pPr>
              <w:jc w:val="center"/>
            </w:pPr>
            <w:r w:rsidRPr="00490934">
              <w:t>3ms</w:t>
            </w:r>
          </w:p>
        </w:tc>
        <w:tc>
          <w:tcPr>
            <w:tcW w:w="3020" w:type="dxa"/>
          </w:tcPr>
          <w:p w14:paraId="420370AC" w14:textId="309BA281" w:rsidR="009C5AE8" w:rsidRDefault="009C5AE8" w:rsidP="009C5AE8">
            <w:pPr>
              <w:jc w:val="center"/>
            </w:pPr>
            <w:r>
              <w:t>1</w:t>
            </w:r>
          </w:p>
        </w:tc>
      </w:tr>
    </w:tbl>
    <w:p w14:paraId="7130417D" w14:textId="77F3352E" w:rsidR="00FC1FAA" w:rsidRPr="00CE7C6E" w:rsidRDefault="00CE7C6E" w:rsidP="00CE7C6E">
      <w:pPr>
        <w:pStyle w:val="Caption"/>
        <w:rPr>
          <w:b/>
          <w:szCs w:val="20"/>
        </w:rPr>
      </w:pPr>
      <w:bookmarkStart w:id="15" w:name="_Ref131761314"/>
      <w:bookmarkStart w:id="16" w:name="OLE_LINK3"/>
      <w:r w:rsidRPr="00CE7C6E">
        <w:rPr>
          <w:b/>
        </w:rPr>
        <w:t xml:space="preserve">Proposal </w:t>
      </w:r>
      <w:r w:rsidRPr="00CE7C6E">
        <w:rPr>
          <w:b/>
        </w:rPr>
        <w:fldChar w:fldCharType="begin"/>
      </w:r>
      <w:r w:rsidRPr="00CE7C6E">
        <w:rPr>
          <w:b/>
        </w:rPr>
        <w:instrText xml:space="preserve"> SEQ Proposal \* ARABIC </w:instrText>
      </w:r>
      <w:r w:rsidRPr="00CE7C6E">
        <w:rPr>
          <w:b/>
        </w:rPr>
        <w:fldChar w:fldCharType="separate"/>
      </w:r>
      <w:r w:rsidR="00D15E9E">
        <w:rPr>
          <w:b/>
          <w:noProof/>
        </w:rPr>
        <w:t>2</w:t>
      </w:r>
      <w:r w:rsidRPr="00CE7C6E">
        <w:rPr>
          <w:b/>
        </w:rPr>
        <w:fldChar w:fldCharType="end"/>
      </w:r>
      <w:r w:rsidRPr="00CE7C6E">
        <w:rPr>
          <w:b/>
        </w:rPr>
        <w:t xml:space="preserve">: </w:t>
      </w:r>
      <w:r w:rsidR="00061105" w:rsidRPr="00CE7C6E">
        <w:rPr>
          <w:b/>
          <w:szCs w:val="20"/>
        </w:rPr>
        <w:t xml:space="preserve">If </w:t>
      </w:r>
      <w:r w:rsidR="00C659BC">
        <w:rPr>
          <w:b/>
          <w:szCs w:val="20"/>
        </w:rPr>
        <w:t>P</w:t>
      </w:r>
      <w:r w:rsidR="00C659BC">
        <w:rPr>
          <w:rFonts w:hint="eastAsia"/>
          <w:b/>
          <w:szCs w:val="20"/>
        </w:rPr>
        <w:t>roposa</w:t>
      </w:r>
      <w:r w:rsidR="00C659BC">
        <w:rPr>
          <w:b/>
          <w:szCs w:val="20"/>
        </w:rPr>
        <w:t xml:space="preserve">l 1 is agreed and </w:t>
      </w:r>
      <w:r w:rsidR="00061105" w:rsidRPr="00CE7C6E">
        <w:rPr>
          <w:b/>
          <w:szCs w:val="20"/>
        </w:rPr>
        <w:t xml:space="preserve">there </w:t>
      </w:r>
      <w:r w:rsidR="00035E20" w:rsidRPr="00CE7C6E">
        <w:rPr>
          <w:b/>
          <w:szCs w:val="20"/>
        </w:rPr>
        <w:t xml:space="preserve">are </w:t>
      </w:r>
      <w:r w:rsidR="009D6763" w:rsidRPr="00CE7C6E">
        <w:rPr>
          <w:b/>
          <w:szCs w:val="20"/>
        </w:rPr>
        <w:t>multiple</w:t>
      </w:r>
      <w:r w:rsidR="00061105" w:rsidRPr="00CE7C6E">
        <w:rPr>
          <w:b/>
          <w:szCs w:val="20"/>
        </w:rPr>
        <w:t xml:space="preserve"> </w:t>
      </w:r>
      <w:r w:rsidR="009D6763" w:rsidRPr="00CE7C6E">
        <w:rPr>
          <w:b/>
          <w:szCs w:val="20"/>
        </w:rPr>
        <w:t xml:space="preserve">PQIs with the same closest PDB </w:t>
      </w:r>
      <w:r w:rsidR="00035E20" w:rsidRPr="00CE7C6E">
        <w:rPr>
          <w:b/>
          <w:szCs w:val="20"/>
        </w:rPr>
        <w:t>whose CAPC</w:t>
      </w:r>
      <w:r w:rsidR="009D6763" w:rsidRPr="00CE7C6E">
        <w:rPr>
          <w:b/>
          <w:szCs w:val="20"/>
        </w:rPr>
        <w:t>s</w:t>
      </w:r>
      <w:r w:rsidR="00035E20" w:rsidRPr="00CE7C6E">
        <w:rPr>
          <w:b/>
          <w:szCs w:val="20"/>
        </w:rPr>
        <w:t xml:space="preserve"> are different</w:t>
      </w:r>
      <w:r w:rsidR="002D2E30">
        <w:rPr>
          <w:b/>
          <w:szCs w:val="20"/>
        </w:rPr>
        <w:t xml:space="preserve"> (e.g. between PQI 25</w:t>
      </w:r>
      <w:r w:rsidR="00BF0E99">
        <w:rPr>
          <w:b/>
          <w:szCs w:val="20"/>
        </w:rPr>
        <w:t xml:space="preserve">, </w:t>
      </w:r>
      <w:r w:rsidR="002D2E30">
        <w:rPr>
          <w:b/>
          <w:szCs w:val="20"/>
        </w:rPr>
        <w:t xml:space="preserve">26 and </w:t>
      </w:r>
      <w:r w:rsidR="00553B57">
        <w:rPr>
          <w:b/>
          <w:szCs w:val="20"/>
        </w:rPr>
        <w:t>6</w:t>
      </w:r>
      <w:r w:rsidR="002D2E30">
        <w:rPr>
          <w:b/>
          <w:szCs w:val="20"/>
        </w:rPr>
        <w:t>1</w:t>
      </w:r>
      <w:r w:rsidR="00BF0E99">
        <w:rPr>
          <w:b/>
          <w:szCs w:val="20"/>
        </w:rPr>
        <w:t xml:space="preserve"> when </w:t>
      </w:r>
      <w:r w:rsidR="00D15E9E">
        <w:rPr>
          <w:b/>
          <w:szCs w:val="20"/>
        </w:rPr>
        <w:t xml:space="preserve">PDB of </w:t>
      </w:r>
      <w:r w:rsidR="00D15E9E" w:rsidRPr="00D15E9E">
        <w:rPr>
          <w:b/>
          <w:szCs w:val="20"/>
        </w:rPr>
        <w:t>non-standardized PQI</w:t>
      </w:r>
      <w:r w:rsidR="00D15E9E">
        <w:rPr>
          <w:b/>
          <w:szCs w:val="20"/>
        </w:rPr>
        <w:t xml:space="preserve"> is 300ms</w:t>
      </w:r>
      <w:r w:rsidR="002D2E30">
        <w:rPr>
          <w:b/>
          <w:szCs w:val="20"/>
        </w:rPr>
        <w:t>)</w:t>
      </w:r>
      <w:r w:rsidR="009D6763" w:rsidRPr="00CE7C6E">
        <w:rPr>
          <w:b/>
          <w:szCs w:val="20"/>
        </w:rPr>
        <w:t>,</w:t>
      </w:r>
      <w:r w:rsidR="00035E20" w:rsidRPr="00CE7C6E">
        <w:rPr>
          <w:rStyle w:val="CommentReference"/>
          <w:b/>
        </w:rPr>
        <w:t xml:space="preserve"> </w:t>
      </w:r>
      <w:r w:rsidR="002D2E30">
        <w:rPr>
          <w:rStyle w:val="CommentReference"/>
          <w:b/>
        </w:rPr>
        <w:t xml:space="preserve">FFS how </w:t>
      </w:r>
      <w:r w:rsidR="00061105" w:rsidRPr="00CE7C6E">
        <w:rPr>
          <w:b/>
          <w:szCs w:val="20"/>
        </w:rPr>
        <w:t xml:space="preserve">the UE determines the CAPC of </w:t>
      </w:r>
      <w:r w:rsidR="00C659BC">
        <w:rPr>
          <w:b/>
          <w:szCs w:val="20"/>
        </w:rPr>
        <w:t>this</w:t>
      </w:r>
      <w:r w:rsidR="00061105" w:rsidRPr="00CE7C6E">
        <w:rPr>
          <w:b/>
          <w:szCs w:val="20"/>
        </w:rPr>
        <w:t xml:space="preserve"> non-standardized PQI</w:t>
      </w:r>
      <w:r w:rsidR="002D2E30" w:rsidRPr="002D2E30">
        <w:rPr>
          <w:b/>
          <w:szCs w:val="20"/>
        </w:rPr>
        <w:t>.</w:t>
      </w:r>
      <w:bookmarkEnd w:id="15"/>
    </w:p>
    <w:p w14:paraId="647EA40A" w14:textId="15B156AD" w:rsidR="009D6763" w:rsidRPr="00CE7C6E" w:rsidRDefault="00CE7C6E" w:rsidP="00CE7C6E">
      <w:pPr>
        <w:pStyle w:val="Caption"/>
        <w:rPr>
          <w:b/>
          <w:szCs w:val="20"/>
        </w:rPr>
      </w:pPr>
      <w:bookmarkStart w:id="17" w:name="_Ref131761315"/>
      <w:r w:rsidRPr="00CE7C6E">
        <w:rPr>
          <w:b/>
        </w:rPr>
        <w:t xml:space="preserve">Proposal </w:t>
      </w:r>
      <w:r w:rsidRPr="00CE7C6E">
        <w:rPr>
          <w:b/>
        </w:rPr>
        <w:fldChar w:fldCharType="begin"/>
      </w:r>
      <w:r w:rsidRPr="00CE7C6E">
        <w:rPr>
          <w:b/>
        </w:rPr>
        <w:instrText xml:space="preserve"> SEQ Proposal \* ARABIC </w:instrText>
      </w:r>
      <w:r w:rsidRPr="00CE7C6E">
        <w:rPr>
          <w:b/>
        </w:rPr>
        <w:fldChar w:fldCharType="separate"/>
      </w:r>
      <w:r w:rsidR="00D15E9E">
        <w:rPr>
          <w:b/>
          <w:noProof/>
        </w:rPr>
        <w:t>3</w:t>
      </w:r>
      <w:r w:rsidRPr="00CE7C6E">
        <w:rPr>
          <w:b/>
        </w:rPr>
        <w:fldChar w:fldCharType="end"/>
      </w:r>
      <w:r w:rsidRPr="00CE7C6E">
        <w:rPr>
          <w:b/>
        </w:rPr>
        <w:t xml:space="preserve">: </w:t>
      </w:r>
      <w:r w:rsidR="0066391A">
        <w:rPr>
          <w:b/>
        </w:rPr>
        <w:t xml:space="preserve">RAN2 to discuss how </w:t>
      </w:r>
      <w:r w:rsidR="00061C93">
        <w:rPr>
          <w:b/>
        </w:rPr>
        <w:t>P</w:t>
      </w:r>
      <w:r w:rsidR="009D6763" w:rsidRPr="00CE7C6E">
        <w:rPr>
          <w:b/>
          <w:szCs w:val="20"/>
        </w:rPr>
        <w:t xml:space="preserve">roposal 1 and 2 </w:t>
      </w:r>
      <w:r w:rsidR="00061C93">
        <w:rPr>
          <w:b/>
          <w:szCs w:val="20"/>
        </w:rPr>
        <w:t xml:space="preserve">are specified </w:t>
      </w:r>
      <w:r w:rsidR="009D6763" w:rsidRPr="00CE7C6E">
        <w:rPr>
          <w:b/>
          <w:szCs w:val="20"/>
        </w:rPr>
        <w:t xml:space="preserve">in the </w:t>
      </w:r>
      <w:r w:rsidRPr="00CE7C6E">
        <w:rPr>
          <w:b/>
          <w:szCs w:val="20"/>
        </w:rPr>
        <w:t>specification</w:t>
      </w:r>
      <w:r w:rsidR="009D6763" w:rsidRPr="00CE7C6E">
        <w:rPr>
          <w:b/>
          <w:szCs w:val="20"/>
        </w:rPr>
        <w:t>, e.g. via Stage-2 level descriptions in TS 38.300.</w:t>
      </w:r>
      <w:bookmarkEnd w:id="17"/>
    </w:p>
    <w:bookmarkEnd w:id="16"/>
    <w:p w14:paraId="74CDD6C6" w14:textId="77777777" w:rsidR="001A25FC" w:rsidRDefault="001A25FC" w:rsidP="00541641">
      <w:pPr>
        <w:pBdr>
          <w:bottom w:val="single" w:sz="12" w:space="1" w:color="auto"/>
        </w:pBdr>
      </w:pPr>
    </w:p>
    <w:p w14:paraId="347555DC" w14:textId="0FFFED12" w:rsidR="00541641" w:rsidRDefault="00541641" w:rsidP="00541641">
      <w:pPr>
        <w:pStyle w:val="Heading1"/>
      </w:pPr>
      <w:r>
        <w:t>Conclusion</w:t>
      </w:r>
    </w:p>
    <w:p w14:paraId="14394126" w14:textId="3DB00961" w:rsidR="000A3FE6" w:rsidRDefault="00541641" w:rsidP="00541641">
      <w:pPr>
        <w:pStyle w:val="BodyText"/>
        <w:rPr>
          <w:rFonts w:eastAsia="宋体"/>
          <w:lang w:eastAsia="zh-CN"/>
        </w:rPr>
      </w:pPr>
      <w:r>
        <w:rPr>
          <w:rFonts w:eastAsia="宋体"/>
          <w:lang w:eastAsia="zh-CN"/>
        </w:rPr>
        <w:t>Based on the discussion, we have the following proposal:</w:t>
      </w:r>
    </w:p>
    <w:p w14:paraId="1C32750F" w14:textId="77777777" w:rsidR="00D15E9E" w:rsidRDefault="00D15E9E" w:rsidP="00541641">
      <w:pPr>
        <w:pStyle w:val="BodyText"/>
        <w:rPr>
          <w:rFonts w:eastAsia="宋体"/>
          <w:lang w:eastAsia="zh-CN"/>
        </w:rPr>
      </w:pPr>
      <w:r>
        <w:rPr>
          <w:rFonts w:eastAsia="宋体"/>
          <w:lang w:eastAsia="zh-CN"/>
        </w:rPr>
        <w:fldChar w:fldCharType="begin"/>
      </w:r>
      <w:r>
        <w:rPr>
          <w:rFonts w:eastAsia="宋体"/>
          <w:lang w:eastAsia="zh-CN"/>
        </w:rPr>
        <w:instrText xml:space="preserve"> REF _Ref131761309 \h </w:instrText>
      </w:r>
      <w:r>
        <w:rPr>
          <w:rFonts w:eastAsia="宋体"/>
          <w:lang w:eastAsia="zh-CN"/>
        </w:rPr>
      </w:r>
      <w:r>
        <w:rPr>
          <w:rFonts w:eastAsia="宋体"/>
          <w:lang w:eastAsia="zh-CN"/>
        </w:rPr>
        <w:fldChar w:fldCharType="separate"/>
      </w:r>
      <w:r w:rsidRPr="00CE7C6E">
        <w:rPr>
          <w:b/>
        </w:rPr>
        <w:t xml:space="preserve">Observation </w:t>
      </w:r>
      <w:r>
        <w:rPr>
          <w:b/>
          <w:noProof/>
        </w:rPr>
        <w:t>1</w:t>
      </w:r>
      <w:r w:rsidRPr="00CE7C6E">
        <w:rPr>
          <w:b/>
        </w:rPr>
        <w:t>: In NR-U, the UEs can rely on the NW to determine the CAPC of non-standardized 5QIs for which the UL transmissions serve. By contrast, the SL IDLE/INACTIVE/OOC UEs cannot expect the NW to configure CAPC for all non-standardized PQI.</w:t>
      </w:r>
      <w:r>
        <w:rPr>
          <w:rFonts w:eastAsia="宋体"/>
          <w:lang w:eastAsia="zh-CN"/>
        </w:rPr>
        <w:fldChar w:fldCharType="end"/>
      </w:r>
    </w:p>
    <w:p w14:paraId="567D9D49" w14:textId="77777777" w:rsidR="00D15E9E" w:rsidRDefault="00D15E9E" w:rsidP="00541641">
      <w:pPr>
        <w:pStyle w:val="BodyText"/>
        <w:rPr>
          <w:rFonts w:eastAsia="宋体"/>
          <w:lang w:eastAsia="zh-CN"/>
        </w:rPr>
      </w:pPr>
      <w:r>
        <w:rPr>
          <w:rFonts w:eastAsia="宋体"/>
          <w:lang w:eastAsia="zh-CN"/>
        </w:rPr>
        <w:fldChar w:fldCharType="begin"/>
      </w:r>
      <w:r>
        <w:rPr>
          <w:rFonts w:eastAsia="宋体"/>
          <w:lang w:eastAsia="zh-CN"/>
        </w:rPr>
        <w:instrText xml:space="preserve"> REF _Ref131761310 \h </w:instrText>
      </w:r>
      <w:r>
        <w:rPr>
          <w:rFonts w:eastAsia="宋体"/>
          <w:lang w:eastAsia="zh-CN"/>
        </w:rPr>
      </w:r>
      <w:r>
        <w:rPr>
          <w:rFonts w:eastAsia="宋体"/>
          <w:lang w:eastAsia="zh-CN"/>
        </w:rPr>
        <w:fldChar w:fldCharType="separate"/>
      </w:r>
      <w:r w:rsidRPr="00EB7A5A">
        <w:rPr>
          <w:b/>
        </w:rPr>
        <w:t xml:space="preserve">Observation </w:t>
      </w:r>
      <w:r>
        <w:rPr>
          <w:b/>
          <w:noProof/>
        </w:rPr>
        <w:t>2</w:t>
      </w:r>
      <w:r w:rsidRPr="00EB7A5A">
        <w:rPr>
          <w:b/>
        </w:rPr>
        <w:t xml:space="preserve">: </w:t>
      </w:r>
      <w:r>
        <w:rPr>
          <w:b/>
        </w:rPr>
        <w:t>In SL-U, t</w:t>
      </w:r>
      <w:r w:rsidRPr="00EB7A5A">
        <w:rPr>
          <w:b/>
          <w:szCs w:val="20"/>
        </w:rPr>
        <w:t>here can be inconsistent UE behaviors if it is up to UE implementation to determine the best-matched PQI for a non-standardized PQI</w:t>
      </w:r>
      <w:r>
        <w:rPr>
          <w:b/>
          <w:szCs w:val="20"/>
        </w:rPr>
        <w:t xml:space="preserve"> in SL-U</w:t>
      </w:r>
      <w:r w:rsidRPr="00EB7A5A">
        <w:rPr>
          <w:b/>
          <w:szCs w:val="20"/>
        </w:rPr>
        <w:t>.</w:t>
      </w:r>
      <w:r>
        <w:rPr>
          <w:rFonts w:eastAsia="宋体"/>
          <w:lang w:eastAsia="zh-CN"/>
        </w:rPr>
        <w:fldChar w:fldCharType="end"/>
      </w:r>
    </w:p>
    <w:p w14:paraId="45AB666B" w14:textId="547F6882" w:rsidR="00D15E9E" w:rsidRDefault="00D15E9E" w:rsidP="00541641">
      <w:pPr>
        <w:pStyle w:val="BodyText"/>
        <w:rPr>
          <w:rFonts w:eastAsia="宋体"/>
          <w:lang w:eastAsia="zh-CN"/>
        </w:rPr>
      </w:pPr>
      <w:r>
        <w:rPr>
          <w:rFonts w:eastAsia="宋体"/>
          <w:lang w:eastAsia="zh-CN"/>
        </w:rPr>
        <w:fldChar w:fldCharType="begin"/>
      </w:r>
      <w:r>
        <w:rPr>
          <w:rFonts w:eastAsia="宋体"/>
          <w:lang w:eastAsia="zh-CN"/>
        </w:rPr>
        <w:instrText xml:space="preserve"> REF _Ref131761313 \h </w:instrText>
      </w:r>
      <w:r>
        <w:rPr>
          <w:rFonts w:eastAsia="宋体"/>
          <w:lang w:eastAsia="zh-CN"/>
        </w:rPr>
      </w:r>
      <w:r>
        <w:rPr>
          <w:rFonts w:eastAsia="宋体"/>
          <w:lang w:eastAsia="zh-CN"/>
        </w:rPr>
        <w:fldChar w:fldCharType="separate"/>
      </w:r>
      <w:r w:rsidR="006B008C" w:rsidRPr="00CE7C6E">
        <w:rPr>
          <w:b/>
        </w:rPr>
        <w:t xml:space="preserve">Proposal </w:t>
      </w:r>
      <w:r w:rsidR="006B008C">
        <w:rPr>
          <w:b/>
          <w:noProof/>
        </w:rPr>
        <w:t>1</w:t>
      </w:r>
      <w:r w:rsidR="006B008C" w:rsidRPr="00CE7C6E">
        <w:rPr>
          <w:b/>
        </w:rPr>
        <w:t xml:space="preserve">: </w:t>
      </w:r>
      <w:r w:rsidR="006B008C" w:rsidRPr="00CE7C6E">
        <w:rPr>
          <w:b/>
          <w:szCs w:val="20"/>
        </w:rPr>
        <w:t xml:space="preserve">For an IDLE/INACTIVE/OOC UE, if the PC5 QoS flow of non-standardized PQI cannot be mapped to an SLRB with the per-bearer CAPC, the UE determines the CAPC of this non-standardized PQI using the CAPC of the standardized PQI or the CAPC of non-standardized PQI configured in SIB/pre-configuration whose PDB is the closest to that of this non-standardized PQI. </w:t>
      </w:r>
      <w:r w:rsidR="006B008C" w:rsidRPr="000600B4">
        <w:rPr>
          <w:b/>
          <w:szCs w:val="20"/>
        </w:rPr>
        <w:t>For a standardized QoS flow, CAPC is directly derived from CAPC table.</w:t>
      </w:r>
      <w:r>
        <w:rPr>
          <w:rFonts w:eastAsia="宋体"/>
          <w:lang w:eastAsia="zh-CN"/>
        </w:rPr>
        <w:fldChar w:fldCharType="end"/>
      </w:r>
      <w:bookmarkStart w:id="18" w:name="_GoBack"/>
      <w:bookmarkEnd w:id="18"/>
    </w:p>
    <w:p w14:paraId="161347CB" w14:textId="10E5477E" w:rsidR="00D15E9E" w:rsidRDefault="00D15E9E" w:rsidP="00541641">
      <w:pPr>
        <w:pStyle w:val="BodyText"/>
        <w:rPr>
          <w:rFonts w:eastAsia="宋体"/>
          <w:lang w:eastAsia="zh-CN"/>
        </w:rPr>
      </w:pPr>
      <w:r>
        <w:rPr>
          <w:rFonts w:eastAsia="宋体"/>
          <w:lang w:eastAsia="zh-CN"/>
        </w:rPr>
        <w:fldChar w:fldCharType="begin"/>
      </w:r>
      <w:r>
        <w:rPr>
          <w:rFonts w:eastAsia="宋体"/>
          <w:lang w:eastAsia="zh-CN"/>
        </w:rPr>
        <w:instrText xml:space="preserve"> REF _Ref131761314 \h </w:instrText>
      </w:r>
      <w:r>
        <w:rPr>
          <w:rFonts w:eastAsia="宋体"/>
          <w:lang w:eastAsia="zh-CN"/>
        </w:rPr>
      </w:r>
      <w:r>
        <w:rPr>
          <w:rFonts w:eastAsia="宋体"/>
          <w:lang w:eastAsia="zh-CN"/>
        </w:rPr>
        <w:fldChar w:fldCharType="separate"/>
      </w:r>
      <w:r w:rsidR="006B008C" w:rsidRPr="00CE7C6E">
        <w:rPr>
          <w:b/>
        </w:rPr>
        <w:t xml:space="preserve">Proposal </w:t>
      </w:r>
      <w:r w:rsidR="006B008C">
        <w:rPr>
          <w:b/>
          <w:noProof/>
        </w:rPr>
        <w:t>2</w:t>
      </w:r>
      <w:r w:rsidR="006B008C" w:rsidRPr="00CE7C6E">
        <w:rPr>
          <w:b/>
        </w:rPr>
        <w:t xml:space="preserve">: </w:t>
      </w:r>
      <w:r w:rsidR="006B008C" w:rsidRPr="00CE7C6E">
        <w:rPr>
          <w:b/>
          <w:szCs w:val="20"/>
        </w:rPr>
        <w:t xml:space="preserve">If </w:t>
      </w:r>
      <w:r w:rsidR="006B008C">
        <w:rPr>
          <w:b/>
          <w:szCs w:val="20"/>
        </w:rPr>
        <w:t>P</w:t>
      </w:r>
      <w:r w:rsidR="006B008C">
        <w:rPr>
          <w:rFonts w:hint="eastAsia"/>
          <w:b/>
          <w:szCs w:val="20"/>
        </w:rPr>
        <w:t>roposa</w:t>
      </w:r>
      <w:r w:rsidR="006B008C">
        <w:rPr>
          <w:b/>
          <w:szCs w:val="20"/>
        </w:rPr>
        <w:t xml:space="preserve">l 1 is agreed and </w:t>
      </w:r>
      <w:r w:rsidR="006B008C" w:rsidRPr="00CE7C6E">
        <w:rPr>
          <w:b/>
          <w:szCs w:val="20"/>
        </w:rPr>
        <w:t>there are multiple PQIs with the same closest PDB whose CAPCs are different</w:t>
      </w:r>
      <w:r w:rsidR="006B008C">
        <w:rPr>
          <w:b/>
          <w:szCs w:val="20"/>
        </w:rPr>
        <w:t xml:space="preserve"> (e.g. between PQI 25, 26 and 61 when PDB of </w:t>
      </w:r>
      <w:r w:rsidR="006B008C" w:rsidRPr="00D15E9E">
        <w:rPr>
          <w:b/>
          <w:szCs w:val="20"/>
        </w:rPr>
        <w:t>non-standardized PQI</w:t>
      </w:r>
      <w:r w:rsidR="006B008C">
        <w:rPr>
          <w:b/>
          <w:szCs w:val="20"/>
        </w:rPr>
        <w:t xml:space="preserve"> is 300ms)</w:t>
      </w:r>
      <w:r w:rsidR="006B008C" w:rsidRPr="00CE7C6E">
        <w:rPr>
          <w:b/>
          <w:szCs w:val="20"/>
        </w:rPr>
        <w:t>,</w:t>
      </w:r>
      <w:r w:rsidR="006B008C" w:rsidRPr="00CE7C6E">
        <w:rPr>
          <w:rStyle w:val="CommentReference"/>
          <w:b/>
        </w:rPr>
        <w:t xml:space="preserve"> </w:t>
      </w:r>
      <w:r w:rsidR="006B008C">
        <w:rPr>
          <w:rStyle w:val="CommentReference"/>
          <w:b/>
        </w:rPr>
        <w:t xml:space="preserve">FFS how </w:t>
      </w:r>
      <w:r w:rsidR="006B008C" w:rsidRPr="00CE7C6E">
        <w:rPr>
          <w:b/>
          <w:szCs w:val="20"/>
        </w:rPr>
        <w:t xml:space="preserve">the UE determines the CAPC of </w:t>
      </w:r>
      <w:r w:rsidR="006B008C">
        <w:rPr>
          <w:b/>
          <w:szCs w:val="20"/>
        </w:rPr>
        <w:t>this</w:t>
      </w:r>
      <w:r w:rsidR="006B008C" w:rsidRPr="00CE7C6E">
        <w:rPr>
          <w:b/>
          <w:szCs w:val="20"/>
        </w:rPr>
        <w:t xml:space="preserve"> non-standardized PQI</w:t>
      </w:r>
      <w:r w:rsidR="006B008C" w:rsidRPr="002D2E30">
        <w:rPr>
          <w:b/>
          <w:szCs w:val="20"/>
        </w:rPr>
        <w:t>.</w:t>
      </w:r>
      <w:r>
        <w:rPr>
          <w:rFonts w:eastAsia="宋体"/>
          <w:lang w:eastAsia="zh-CN"/>
        </w:rPr>
        <w:fldChar w:fldCharType="end"/>
      </w:r>
    </w:p>
    <w:p w14:paraId="2564AE86" w14:textId="0166A7A1" w:rsidR="00D15E9E" w:rsidRDefault="00D15E9E" w:rsidP="00541641">
      <w:pPr>
        <w:pStyle w:val="BodyText"/>
        <w:rPr>
          <w:rFonts w:eastAsia="宋体"/>
          <w:lang w:eastAsia="zh-CN"/>
        </w:rPr>
      </w:pPr>
      <w:r>
        <w:rPr>
          <w:rFonts w:eastAsia="宋体"/>
          <w:lang w:eastAsia="zh-CN"/>
        </w:rPr>
        <w:fldChar w:fldCharType="begin"/>
      </w:r>
      <w:r>
        <w:rPr>
          <w:rFonts w:eastAsia="宋体"/>
          <w:lang w:eastAsia="zh-CN"/>
        </w:rPr>
        <w:instrText xml:space="preserve"> REF _Ref131761315 \h </w:instrText>
      </w:r>
      <w:r>
        <w:rPr>
          <w:rFonts w:eastAsia="宋体"/>
          <w:lang w:eastAsia="zh-CN"/>
        </w:rPr>
      </w:r>
      <w:r>
        <w:rPr>
          <w:rFonts w:eastAsia="宋体"/>
          <w:lang w:eastAsia="zh-CN"/>
        </w:rPr>
        <w:fldChar w:fldCharType="separate"/>
      </w:r>
      <w:r w:rsidR="006B008C" w:rsidRPr="00CE7C6E">
        <w:rPr>
          <w:b/>
        </w:rPr>
        <w:t xml:space="preserve">Proposal </w:t>
      </w:r>
      <w:r w:rsidR="006B008C">
        <w:rPr>
          <w:b/>
          <w:noProof/>
        </w:rPr>
        <w:t>3</w:t>
      </w:r>
      <w:r w:rsidR="006B008C" w:rsidRPr="00CE7C6E">
        <w:rPr>
          <w:b/>
        </w:rPr>
        <w:t xml:space="preserve">: </w:t>
      </w:r>
      <w:r w:rsidR="006B008C">
        <w:rPr>
          <w:b/>
        </w:rPr>
        <w:t>RAN2 to discuss how P</w:t>
      </w:r>
      <w:r w:rsidR="006B008C" w:rsidRPr="00CE7C6E">
        <w:rPr>
          <w:b/>
          <w:szCs w:val="20"/>
        </w:rPr>
        <w:t xml:space="preserve">roposal 1 and 2 </w:t>
      </w:r>
      <w:r w:rsidR="006B008C">
        <w:rPr>
          <w:b/>
          <w:szCs w:val="20"/>
        </w:rPr>
        <w:t xml:space="preserve">are specified </w:t>
      </w:r>
      <w:r w:rsidR="006B008C" w:rsidRPr="00CE7C6E">
        <w:rPr>
          <w:b/>
          <w:szCs w:val="20"/>
        </w:rPr>
        <w:t>in the specification, e.g. via Stage-2 level descriptions in TS 38.300.</w:t>
      </w:r>
      <w:r>
        <w:rPr>
          <w:rFonts w:eastAsia="宋体"/>
          <w:lang w:eastAsia="zh-CN"/>
        </w:rPr>
        <w:fldChar w:fldCharType="end"/>
      </w:r>
    </w:p>
    <w:p w14:paraId="411BF479" w14:textId="77777777" w:rsidR="00AF48F0" w:rsidRPr="00AF48F0" w:rsidRDefault="00AF48F0" w:rsidP="003A2AEA">
      <w:pPr>
        <w:pBdr>
          <w:bottom w:val="single" w:sz="12" w:space="1" w:color="auto"/>
        </w:pBdr>
        <w:rPr>
          <w:b/>
          <w:szCs w:val="20"/>
        </w:rPr>
      </w:pPr>
    </w:p>
    <w:p w14:paraId="097CCED1" w14:textId="0E11BEE9" w:rsidR="00541641" w:rsidRDefault="00541641" w:rsidP="00541641">
      <w:pPr>
        <w:pStyle w:val="Heading1"/>
      </w:pPr>
      <w:r>
        <w:t>References</w:t>
      </w:r>
    </w:p>
    <w:p w14:paraId="1191C98D" w14:textId="329CBE1E" w:rsidR="00541641" w:rsidRPr="00E14384" w:rsidRDefault="00DD5FDA" w:rsidP="00541641">
      <w:pPr>
        <w:pStyle w:val="ListParagraph"/>
        <w:widowControl/>
        <w:numPr>
          <w:ilvl w:val="0"/>
          <w:numId w:val="13"/>
        </w:numPr>
        <w:ind w:firstLineChars="0"/>
        <w:jc w:val="left"/>
        <w:rPr>
          <w:rFonts w:ascii="Times New Roman" w:hAnsi="Times New Roman"/>
          <w:sz w:val="20"/>
          <w:szCs w:val="20"/>
        </w:rPr>
      </w:pPr>
      <w:bookmarkStart w:id="19" w:name="_Ref131759649"/>
      <w:r>
        <w:rPr>
          <w:rFonts w:ascii="Times New Roman" w:hAnsi="Times New Roman"/>
          <w:sz w:val="20"/>
          <w:szCs w:val="20"/>
        </w:rPr>
        <w:t xml:space="preserve">RAN2 </w:t>
      </w:r>
      <w:r>
        <w:rPr>
          <w:rFonts w:ascii="Times New Roman" w:hAnsi="Times New Roman" w:hint="eastAsia"/>
          <w:sz w:val="20"/>
          <w:szCs w:val="20"/>
        </w:rPr>
        <w:t>#</w:t>
      </w:r>
      <w:r>
        <w:rPr>
          <w:rFonts w:ascii="Times New Roman" w:hAnsi="Times New Roman"/>
          <w:sz w:val="20"/>
          <w:szCs w:val="20"/>
        </w:rPr>
        <w:t xml:space="preserve">120 </w:t>
      </w:r>
      <w:r>
        <w:rPr>
          <w:rFonts w:ascii="Times New Roman" w:hAnsi="Times New Roman" w:hint="eastAsia"/>
          <w:sz w:val="20"/>
          <w:szCs w:val="20"/>
        </w:rPr>
        <w:t>chair</w:t>
      </w:r>
      <w:r>
        <w:rPr>
          <w:rFonts w:ascii="Times New Roman" w:hAnsi="Times New Roman"/>
          <w:sz w:val="20"/>
          <w:szCs w:val="20"/>
        </w:rPr>
        <w:t>man notes</w:t>
      </w:r>
      <w:bookmarkEnd w:id="19"/>
    </w:p>
    <w:p w14:paraId="34323547" w14:textId="4CB27DBD" w:rsidR="00A2414B" w:rsidRPr="00D7413F" w:rsidRDefault="00DD5FDA" w:rsidP="00D7413F">
      <w:pPr>
        <w:pStyle w:val="ListParagraph"/>
        <w:widowControl/>
        <w:numPr>
          <w:ilvl w:val="0"/>
          <w:numId w:val="13"/>
        </w:numPr>
        <w:ind w:firstLineChars="0"/>
        <w:jc w:val="left"/>
        <w:rPr>
          <w:rFonts w:ascii="Times New Roman" w:hAnsi="Times New Roman"/>
          <w:sz w:val="20"/>
          <w:szCs w:val="20"/>
        </w:rPr>
      </w:pPr>
      <w:bookmarkStart w:id="20" w:name="_Ref131759650"/>
      <w:r>
        <w:rPr>
          <w:rFonts w:ascii="Times New Roman" w:hAnsi="Times New Roman"/>
          <w:sz w:val="20"/>
          <w:szCs w:val="20"/>
        </w:rPr>
        <w:t xml:space="preserve">RAN2 </w:t>
      </w:r>
      <w:r>
        <w:rPr>
          <w:rFonts w:ascii="Times New Roman" w:hAnsi="Times New Roman" w:hint="eastAsia"/>
          <w:sz w:val="20"/>
          <w:szCs w:val="20"/>
        </w:rPr>
        <w:t>#</w:t>
      </w:r>
      <w:r>
        <w:rPr>
          <w:rFonts w:ascii="Times New Roman" w:hAnsi="Times New Roman"/>
          <w:sz w:val="20"/>
          <w:szCs w:val="20"/>
        </w:rPr>
        <w:t xml:space="preserve">121 </w:t>
      </w:r>
      <w:r>
        <w:rPr>
          <w:rFonts w:ascii="Times New Roman" w:hAnsi="Times New Roman" w:hint="eastAsia"/>
          <w:sz w:val="20"/>
          <w:szCs w:val="20"/>
        </w:rPr>
        <w:t>chair</w:t>
      </w:r>
      <w:r>
        <w:rPr>
          <w:rFonts w:ascii="Times New Roman" w:hAnsi="Times New Roman"/>
          <w:sz w:val="20"/>
          <w:szCs w:val="20"/>
        </w:rPr>
        <w:t>man notes</w:t>
      </w:r>
      <w:bookmarkEnd w:id="20"/>
    </w:p>
    <w:sectPr w:rsidR="00A2414B" w:rsidRPr="00D7413F" w:rsidSect="00A2414B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955C37" w14:textId="77777777" w:rsidR="00FD34C9" w:rsidRDefault="00FD34C9" w:rsidP="003E7FE5">
      <w:r>
        <w:separator/>
      </w:r>
    </w:p>
  </w:endnote>
  <w:endnote w:type="continuationSeparator" w:id="0">
    <w:p w14:paraId="57EC4FE4" w14:textId="77777777" w:rsidR="00FD34C9" w:rsidRDefault="00FD34C9" w:rsidP="003E7F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66E809" w14:textId="77777777" w:rsidR="00FD34C9" w:rsidRDefault="00FD34C9" w:rsidP="003E7FE5">
      <w:r>
        <w:separator/>
      </w:r>
    </w:p>
  </w:footnote>
  <w:footnote w:type="continuationSeparator" w:id="0">
    <w:p w14:paraId="50B7CBAC" w14:textId="77777777" w:rsidR="00FD34C9" w:rsidRDefault="00FD34C9" w:rsidP="003E7F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89"/>
    <w:multiLevelType w:val="singleLevel"/>
    <w:tmpl w:val="EC52BC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6CD1304"/>
    <w:multiLevelType w:val="hybridMultilevel"/>
    <w:tmpl w:val="5B646AA6"/>
    <w:lvl w:ilvl="0" w:tplc="B9021246">
      <w:start w:val="6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DE2F35"/>
    <w:multiLevelType w:val="multilevel"/>
    <w:tmpl w:val="0DDE2F35"/>
    <w:lvl w:ilvl="0">
      <w:start w:val="16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EB14F99"/>
    <w:multiLevelType w:val="multilevel"/>
    <w:tmpl w:val="0EB14F9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7D6850"/>
    <w:multiLevelType w:val="hybridMultilevel"/>
    <w:tmpl w:val="3B50C36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9BD163B"/>
    <w:multiLevelType w:val="hybridMultilevel"/>
    <w:tmpl w:val="711A509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BC4FCA"/>
    <w:multiLevelType w:val="multilevel"/>
    <w:tmpl w:val="1ABC4FCA"/>
    <w:lvl w:ilvl="0">
      <w:start w:val="1"/>
      <w:numFmt w:val="decimal"/>
      <w:lvlText w:val="Proposal %1"/>
      <w:lvlJc w:val="left"/>
      <w:pPr>
        <w:ind w:left="132" w:hanging="132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3FB5BE3"/>
    <w:multiLevelType w:val="hybridMultilevel"/>
    <w:tmpl w:val="D19E521C"/>
    <w:lvl w:ilvl="0" w:tplc="04090001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9" w15:restartNumberingAfterBreak="0">
    <w:nsid w:val="377C3F3C"/>
    <w:multiLevelType w:val="hybridMultilevel"/>
    <w:tmpl w:val="3C7E3524"/>
    <w:lvl w:ilvl="0" w:tplc="80EAF7AA">
      <w:start w:val="1"/>
      <w:numFmt w:val="decimal"/>
      <w:lvlText w:val="Observation %1"/>
      <w:lvlJc w:val="left"/>
      <w:pPr>
        <w:ind w:left="7023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7743" w:hanging="360"/>
      </w:pPr>
    </w:lvl>
    <w:lvl w:ilvl="2" w:tplc="0409001B" w:tentative="1">
      <w:start w:val="1"/>
      <w:numFmt w:val="lowerRoman"/>
      <w:lvlText w:val="%3."/>
      <w:lvlJc w:val="right"/>
      <w:pPr>
        <w:ind w:left="8463" w:hanging="180"/>
      </w:pPr>
    </w:lvl>
    <w:lvl w:ilvl="3" w:tplc="0409000F" w:tentative="1">
      <w:start w:val="1"/>
      <w:numFmt w:val="decimal"/>
      <w:lvlText w:val="%4."/>
      <w:lvlJc w:val="left"/>
      <w:pPr>
        <w:ind w:left="9183" w:hanging="360"/>
      </w:pPr>
    </w:lvl>
    <w:lvl w:ilvl="4" w:tplc="04090019" w:tentative="1">
      <w:start w:val="1"/>
      <w:numFmt w:val="lowerLetter"/>
      <w:lvlText w:val="%5."/>
      <w:lvlJc w:val="left"/>
      <w:pPr>
        <w:ind w:left="9903" w:hanging="360"/>
      </w:pPr>
    </w:lvl>
    <w:lvl w:ilvl="5" w:tplc="0409001B" w:tentative="1">
      <w:start w:val="1"/>
      <w:numFmt w:val="lowerRoman"/>
      <w:lvlText w:val="%6."/>
      <w:lvlJc w:val="right"/>
      <w:pPr>
        <w:ind w:left="10623" w:hanging="180"/>
      </w:pPr>
    </w:lvl>
    <w:lvl w:ilvl="6" w:tplc="0409000F" w:tentative="1">
      <w:start w:val="1"/>
      <w:numFmt w:val="decimal"/>
      <w:lvlText w:val="%7."/>
      <w:lvlJc w:val="left"/>
      <w:pPr>
        <w:ind w:left="11343" w:hanging="360"/>
      </w:pPr>
    </w:lvl>
    <w:lvl w:ilvl="7" w:tplc="04090019" w:tentative="1">
      <w:start w:val="1"/>
      <w:numFmt w:val="lowerLetter"/>
      <w:lvlText w:val="%8."/>
      <w:lvlJc w:val="left"/>
      <w:pPr>
        <w:ind w:left="12063" w:hanging="360"/>
      </w:pPr>
    </w:lvl>
    <w:lvl w:ilvl="8" w:tplc="0409001B" w:tentative="1">
      <w:start w:val="1"/>
      <w:numFmt w:val="lowerRoman"/>
      <w:lvlText w:val="%9."/>
      <w:lvlJc w:val="right"/>
      <w:pPr>
        <w:ind w:left="12783" w:hanging="180"/>
      </w:pPr>
    </w:lvl>
  </w:abstractNum>
  <w:abstractNum w:abstractNumId="10" w15:restartNumberingAfterBreak="0">
    <w:nsid w:val="411879AB"/>
    <w:multiLevelType w:val="hybridMultilevel"/>
    <w:tmpl w:val="AA38BAB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44582AF1"/>
    <w:multiLevelType w:val="hybridMultilevel"/>
    <w:tmpl w:val="1E9EF6BE"/>
    <w:lvl w:ilvl="0" w:tplc="80EAF7AA">
      <w:start w:val="1"/>
      <w:numFmt w:val="decimal"/>
      <w:lvlText w:val="Observation %1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F627B"/>
    <w:multiLevelType w:val="multilevel"/>
    <w:tmpl w:val="4E9F627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AA381C"/>
    <w:multiLevelType w:val="hybridMultilevel"/>
    <w:tmpl w:val="9658312A"/>
    <w:lvl w:ilvl="0" w:tplc="B5A8667A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DB7818"/>
    <w:multiLevelType w:val="hybridMultilevel"/>
    <w:tmpl w:val="179AE514"/>
    <w:lvl w:ilvl="0" w:tplc="83A4AFBC">
      <w:numFmt w:val="bullet"/>
      <w:lvlText w:val="-"/>
      <w:lvlJc w:val="left"/>
      <w:pPr>
        <w:ind w:left="420" w:hanging="420"/>
      </w:pPr>
      <w:rPr>
        <w:rFonts w:ascii="Arial" w:eastAsia="PMingLiU" w:hAnsi="Arial" w:cs="Arial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01F415D"/>
    <w:multiLevelType w:val="multilevel"/>
    <w:tmpl w:val="F14EC5B6"/>
    <w:lvl w:ilvl="0">
      <w:start w:val="1"/>
      <w:numFmt w:val="decimal"/>
      <w:pStyle w:val="Heading1"/>
      <w:lvlText w:val="%1.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pStyle w:val="Heading2"/>
      <w:lvlText w:val="%1.%2.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pStyle w:val="Heading3"/>
      <w:lvlText w:val="%1.%2.%3."/>
      <w:lvlJc w:val="left"/>
      <w:pPr>
        <w:ind w:left="0" w:firstLine="0"/>
      </w:pPr>
      <w:rPr>
        <w:rFonts w:hint="eastAsia"/>
      </w:rPr>
    </w:lvl>
    <w:lvl w:ilvl="3">
      <w:start w:val="1"/>
      <w:numFmt w:val="decimal"/>
      <w:pStyle w:val="Heading4"/>
      <w:lvlText w:val="%1.%2.%3.%4."/>
      <w:lvlJc w:val="left"/>
      <w:pPr>
        <w:ind w:left="0" w:firstLine="0"/>
      </w:pPr>
      <w:rPr>
        <w:rFonts w:hint="eastAsia"/>
      </w:rPr>
    </w:lvl>
    <w:lvl w:ilvl="4">
      <w:start w:val="1"/>
      <w:numFmt w:val="decimal"/>
      <w:pStyle w:val="Heading5"/>
      <w:lvlText w:val="%1.%2.%3.%4.%5."/>
      <w:lvlJc w:val="left"/>
      <w:pPr>
        <w:ind w:left="0" w:firstLine="0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16" w15:restartNumberingAfterBreak="0">
    <w:nsid w:val="68491546"/>
    <w:multiLevelType w:val="multilevel"/>
    <w:tmpl w:val="68491546"/>
    <w:lvl w:ilvl="0">
      <w:start w:val="1"/>
      <w:numFmt w:val="decimal"/>
      <w:lvlText w:val="Observation %1"/>
      <w:lvlJc w:val="left"/>
      <w:pPr>
        <w:ind w:left="132" w:hanging="132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552" w:hanging="420"/>
      </w:pPr>
    </w:lvl>
    <w:lvl w:ilvl="2">
      <w:start w:val="1"/>
      <w:numFmt w:val="lowerRoman"/>
      <w:lvlText w:val="%3."/>
      <w:lvlJc w:val="right"/>
      <w:pPr>
        <w:ind w:left="972" w:hanging="420"/>
      </w:pPr>
    </w:lvl>
    <w:lvl w:ilvl="3">
      <w:start w:val="1"/>
      <w:numFmt w:val="decimal"/>
      <w:lvlText w:val="%4."/>
      <w:lvlJc w:val="left"/>
      <w:pPr>
        <w:ind w:left="1392" w:hanging="420"/>
      </w:pPr>
    </w:lvl>
    <w:lvl w:ilvl="4">
      <w:start w:val="1"/>
      <w:numFmt w:val="lowerLetter"/>
      <w:lvlText w:val="%5)"/>
      <w:lvlJc w:val="left"/>
      <w:pPr>
        <w:ind w:left="1812" w:hanging="420"/>
      </w:pPr>
    </w:lvl>
    <w:lvl w:ilvl="5">
      <w:start w:val="1"/>
      <w:numFmt w:val="lowerRoman"/>
      <w:lvlText w:val="%6."/>
      <w:lvlJc w:val="right"/>
      <w:pPr>
        <w:ind w:left="2232" w:hanging="420"/>
      </w:pPr>
    </w:lvl>
    <w:lvl w:ilvl="6">
      <w:start w:val="1"/>
      <w:numFmt w:val="decimal"/>
      <w:lvlText w:val="%7."/>
      <w:lvlJc w:val="left"/>
      <w:pPr>
        <w:ind w:left="2652" w:hanging="420"/>
      </w:pPr>
    </w:lvl>
    <w:lvl w:ilvl="7">
      <w:start w:val="1"/>
      <w:numFmt w:val="lowerLetter"/>
      <w:lvlText w:val="%8)"/>
      <w:lvlJc w:val="left"/>
      <w:pPr>
        <w:ind w:left="3072" w:hanging="420"/>
      </w:pPr>
    </w:lvl>
    <w:lvl w:ilvl="8">
      <w:start w:val="1"/>
      <w:numFmt w:val="lowerRoman"/>
      <w:lvlText w:val="%9."/>
      <w:lvlJc w:val="right"/>
      <w:pPr>
        <w:ind w:left="3492" w:hanging="420"/>
      </w:pPr>
    </w:lvl>
  </w:abstractNum>
  <w:abstractNum w:abstractNumId="17" w15:restartNumberingAfterBreak="0">
    <w:nsid w:val="6B0442C7"/>
    <w:multiLevelType w:val="multilevel"/>
    <w:tmpl w:val="6B0442C7"/>
    <w:lvl w:ilvl="0">
      <w:start w:val="8"/>
      <w:numFmt w:val="bullet"/>
      <w:lvlText w:val=""/>
      <w:lvlJc w:val="left"/>
      <w:pPr>
        <w:ind w:left="420" w:hanging="42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BD34F3B"/>
    <w:multiLevelType w:val="multilevel"/>
    <w:tmpl w:val="6BD34F3B"/>
    <w:lvl w:ilvl="0">
      <w:start w:val="1"/>
      <w:numFmt w:val="decimal"/>
      <w:lvlText w:val="Proposal %1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6EE511DF"/>
    <w:multiLevelType w:val="multilevel"/>
    <w:tmpl w:val="6EE511DF"/>
    <w:lvl w:ilvl="0">
      <w:start w:val="1"/>
      <w:numFmt w:val="decimal"/>
      <w:lvlText w:val="Observation %1"/>
      <w:lvlJc w:val="left"/>
      <w:pPr>
        <w:ind w:left="132" w:hanging="132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552" w:hanging="420"/>
      </w:pPr>
    </w:lvl>
    <w:lvl w:ilvl="2">
      <w:start w:val="1"/>
      <w:numFmt w:val="lowerRoman"/>
      <w:lvlText w:val="%3."/>
      <w:lvlJc w:val="right"/>
      <w:pPr>
        <w:ind w:left="972" w:hanging="420"/>
      </w:pPr>
    </w:lvl>
    <w:lvl w:ilvl="3">
      <w:start w:val="1"/>
      <w:numFmt w:val="decimal"/>
      <w:lvlText w:val="%4."/>
      <w:lvlJc w:val="left"/>
      <w:pPr>
        <w:ind w:left="1392" w:hanging="420"/>
      </w:pPr>
    </w:lvl>
    <w:lvl w:ilvl="4">
      <w:start w:val="1"/>
      <w:numFmt w:val="lowerLetter"/>
      <w:lvlText w:val="%5)"/>
      <w:lvlJc w:val="left"/>
      <w:pPr>
        <w:ind w:left="1812" w:hanging="420"/>
      </w:pPr>
    </w:lvl>
    <w:lvl w:ilvl="5">
      <w:start w:val="1"/>
      <w:numFmt w:val="lowerRoman"/>
      <w:lvlText w:val="%6."/>
      <w:lvlJc w:val="right"/>
      <w:pPr>
        <w:ind w:left="2232" w:hanging="420"/>
      </w:pPr>
    </w:lvl>
    <w:lvl w:ilvl="6">
      <w:start w:val="1"/>
      <w:numFmt w:val="decimal"/>
      <w:lvlText w:val="%7."/>
      <w:lvlJc w:val="left"/>
      <w:pPr>
        <w:ind w:left="2652" w:hanging="420"/>
      </w:pPr>
    </w:lvl>
    <w:lvl w:ilvl="7">
      <w:start w:val="1"/>
      <w:numFmt w:val="lowerLetter"/>
      <w:lvlText w:val="%8)"/>
      <w:lvlJc w:val="left"/>
      <w:pPr>
        <w:ind w:left="3072" w:hanging="420"/>
      </w:pPr>
    </w:lvl>
    <w:lvl w:ilvl="8">
      <w:start w:val="1"/>
      <w:numFmt w:val="lowerRoman"/>
      <w:lvlText w:val="%9."/>
      <w:lvlJc w:val="right"/>
      <w:pPr>
        <w:ind w:left="3492" w:hanging="420"/>
      </w:pPr>
    </w:lvl>
  </w:abstractNum>
  <w:abstractNum w:abstractNumId="20" w15:restartNumberingAfterBreak="0">
    <w:nsid w:val="70E014CB"/>
    <w:multiLevelType w:val="hybridMultilevel"/>
    <w:tmpl w:val="CB2E46CA"/>
    <w:lvl w:ilvl="0" w:tplc="C6369E86">
      <w:start w:val="1"/>
      <w:numFmt w:val="bullet"/>
      <w:lvlText w:val="-"/>
      <w:lvlJc w:val="left"/>
      <w:pPr>
        <w:ind w:left="2421" w:hanging="36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1" w15:restartNumberingAfterBreak="0">
    <w:nsid w:val="77154095"/>
    <w:multiLevelType w:val="multilevel"/>
    <w:tmpl w:val="B83439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7CB8713B"/>
    <w:multiLevelType w:val="multilevel"/>
    <w:tmpl w:val="7CB8713B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  <w:b w:val="0"/>
        <w:i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5"/>
  </w:num>
  <w:num w:numId="2">
    <w:abstractNumId w:val="17"/>
  </w:num>
  <w:num w:numId="3">
    <w:abstractNumId w:val="12"/>
  </w:num>
  <w:num w:numId="4">
    <w:abstractNumId w:val="3"/>
  </w:num>
  <w:num w:numId="5">
    <w:abstractNumId w:val="19"/>
  </w:num>
  <w:num w:numId="6">
    <w:abstractNumId w:val="18"/>
  </w:num>
  <w:num w:numId="7">
    <w:abstractNumId w:val="10"/>
  </w:num>
  <w:num w:numId="8">
    <w:abstractNumId w:val="5"/>
  </w:num>
  <w:num w:numId="9">
    <w:abstractNumId w:val="21"/>
  </w:num>
  <w:num w:numId="10">
    <w:abstractNumId w:val="8"/>
  </w:num>
  <w:num w:numId="11">
    <w:abstractNumId w:val="16"/>
  </w:num>
  <w:num w:numId="12">
    <w:abstractNumId w:val="7"/>
  </w:num>
  <w:num w:numId="13">
    <w:abstractNumId w:val="22"/>
  </w:num>
  <w:num w:numId="14">
    <w:abstractNumId w:val="4"/>
  </w:num>
  <w:num w:numId="15">
    <w:abstractNumId w:val="13"/>
  </w:num>
  <w:num w:numId="16">
    <w:abstractNumId w:val="1"/>
  </w:num>
  <w:num w:numId="17">
    <w:abstractNumId w:val="0"/>
  </w:num>
  <w:num w:numId="18">
    <w:abstractNumId w:val="2"/>
  </w:num>
  <w:num w:numId="19">
    <w:abstractNumId w:val="20"/>
  </w:num>
  <w:num w:numId="20">
    <w:abstractNumId w:val="14"/>
  </w:num>
  <w:num w:numId="21">
    <w:abstractNumId w:val="6"/>
  </w:num>
  <w:num w:numId="22">
    <w:abstractNumId w:val="9"/>
  </w:num>
  <w:num w:numId="2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17F6"/>
    <w:rsid w:val="00013CA5"/>
    <w:rsid w:val="000247F9"/>
    <w:rsid w:val="00034AE9"/>
    <w:rsid w:val="00035E20"/>
    <w:rsid w:val="000444C5"/>
    <w:rsid w:val="00050EF2"/>
    <w:rsid w:val="000600B4"/>
    <w:rsid w:val="00061105"/>
    <w:rsid w:val="0006132B"/>
    <w:rsid w:val="00061C93"/>
    <w:rsid w:val="00077CB0"/>
    <w:rsid w:val="000A3A3B"/>
    <w:rsid w:val="000A3FE6"/>
    <w:rsid w:val="000B2C12"/>
    <w:rsid w:val="000E758D"/>
    <w:rsid w:val="000F0640"/>
    <w:rsid w:val="001121CD"/>
    <w:rsid w:val="001129D4"/>
    <w:rsid w:val="0011668F"/>
    <w:rsid w:val="00133B5F"/>
    <w:rsid w:val="001410D9"/>
    <w:rsid w:val="001445FB"/>
    <w:rsid w:val="001448D5"/>
    <w:rsid w:val="001633C2"/>
    <w:rsid w:val="0016785A"/>
    <w:rsid w:val="0017273B"/>
    <w:rsid w:val="001929A5"/>
    <w:rsid w:val="00194C84"/>
    <w:rsid w:val="00197B54"/>
    <w:rsid w:val="001A25FC"/>
    <w:rsid w:val="001A2E65"/>
    <w:rsid w:val="001A5E91"/>
    <w:rsid w:val="001D70F1"/>
    <w:rsid w:val="00211D99"/>
    <w:rsid w:val="00214A6C"/>
    <w:rsid w:val="002541C7"/>
    <w:rsid w:val="0026661A"/>
    <w:rsid w:val="0028416D"/>
    <w:rsid w:val="00284C62"/>
    <w:rsid w:val="002855E3"/>
    <w:rsid w:val="00292F23"/>
    <w:rsid w:val="002A18F4"/>
    <w:rsid w:val="002A5FBD"/>
    <w:rsid w:val="002B1637"/>
    <w:rsid w:val="002B351A"/>
    <w:rsid w:val="002C273C"/>
    <w:rsid w:val="002C4919"/>
    <w:rsid w:val="002C6987"/>
    <w:rsid w:val="002D2E30"/>
    <w:rsid w:val="002E7299"/>
    <w:rsid w:val="003144E6"/>
    <w:rsid w:val="003153AB"/>
    <w:rsid w:val="0033574E"/>
    <w:rsid w:val="00343E37"/>
    <w:rsid w:val="0038200A"/>
    <w:rsid w:val="00385BCD"/>
    <w:rsid w:val="00386243"/>
    <w:rsid w:val="00392CF2"/>
    <w:rsid w:val="00394D3B"/>
    <w:rsid w:val="003A2AEA"/>
    <w:rsid w:val="003B4E47"/>
    <w:rsid w:val="003E7FE5"/>
    <w:rsid w:val="003F5429"/>
    <w:rsid w:val="004229EB"/>
    <w:rsid w:val="00427623"/>
    <w:rsid w:val="004526A5"/>
    <w:rsid w:val="00457EF4"/>
    <w:rsid w:val="00495800"/>
    <w:rsid w:val="004A21A1"/>
    <w:rsid w:val="004B251E"/>
    <w:rsid w:val="004B7F85"/>
    <w:rsid w:val="004D0653"/>
    <w:rsid w:val="004E0BC9"/>
    <w:rsid w:val="004E29CA"/>
    <w:rsid w:val="004E304E"/>
    <w:rsid w:val="004F599D"/>
    <w:rsid w:val="004F5D52"/>
    <w:rsid w:val="004F773B"/>
    <w:rsid w:val="00500EFE"/>
    <w:rsid w:val="005017F6"/>
    <w:rsid w:val="00520008"/>
    <w:rsid w:val="005264E0"/>
    <w:rsid w:val="00536C5B"/>
    <w:rsid w:val="00541641"/>
    <w:rsid w:val="0055188C"/>
    <w:rsid w:val="00553B57"/>
    <w:rsid w:val="00572C05"/>
    <w:rsid w:val="005805C2"/>
    <w:rsid w:val="005C100D"/>
    <w:rsid w:val="005D10D0"/>
    <w:rsid w:val="00600071"/>
    <w:rsid w:val="006011D9"/>
    <w:rsid w:val="00624E50"/>
    <w:rsid w:val="006419F8"/>
    <w:rsid w:val="00641A9B"/>
    <w:rsid w:val="00643B21"/>
    <w:rsid w:val="006447BD"/>
    <w:rsid w:val="00656556"/>
    <w:rsid w:val="0066391A"/>
    <w:rsid w:val="00670BA2"/>
    <w:rsid w:val="00675CA4"/>
    <w:rsid w:val="00690A1F"/>
    <w:rsid w:val="006933CA"/>
    <w:rsid w:val="006B0026"/>
    <w:rsid w:val="006B008C"/>
    <w:rsid w:val="00703F97"/>
    <w:rsid w:val="0073196B"/>
    <w:rsid w:val="00744508"/>
    <w:rsid w:val="00753361"/>
    <w:rsid w:val="00756311"/>
    <w:rsid w:val="00757890"/>
    <w:rsid w:val="00760B04"/>
    <w:rsid w:val="00762D81"/>
    <w:rsid w:val="00775F8A"/>
    <w:rsid w:val="007801CA"/>
    <w:rsid w:val="007933C2"/>
    <w:rsid w:val="007A765E"/>
    <w:rsid w:val="007B68E3"/>
    <w:rsid w:val="007C1459"/>
    <w:rsid w:val="007C761D"/>
    <w:rsid w:val="007E197F"/>
    <w:rsid w:val="007E2ED2"/>
    <w:rsid w:val="007F435C"/>
    <w:rsid w:val="00804755"/>
    <w:rsid w:val="008158E4"/>
    <w:rsid w:val="00831490"/>
    <w:rsid w:val="00865621"/>
    <w:rsid w:val="00891547"/>
    <w:rsid w:val="008A0860"/>
    <w:rsid w:val="008A49AA"/>
    <w:rsid w:val="008A52CB"/>
    <w:rsid w:val="008D6FFA"/>
    <w:rsid w:val="008E08F7"/>
    <w:rsid w:val="008E1087"/>
    <w:rsid w:val="0091483E"/>
    <w:rsid w:val="009320AD"/>
    <w:rsid w:val="00970C8D"/>
    <w:rsid w:val="00977917"/>
    <w:rsid w:val="009928E7"/>
    <w:rsid w:val="009A4A8D"/>
    <w:rsid w:val="009A760A"/>
    <w:rsid w:val="009B4524"/>
    <w:rsid w:val="009B7AAC"/>
    <w:rsid w:val="009C2B9D"/>
    <w:rsid w:val="009C5593"/>
    <w:rsid w:val="009C5AE8"/>
    <w:rsid w:val="009D20AB"/>
    <w:rsid w:val="009D6763"/>
    <w:rsid w:val="00A03F0A"/>
    <w:rsid w:val="00A05584"/>
    <w:rsid w:val="00A071DC"/>
    <w:rsid w:val="00A2414B"/>
    <w:rsid w:val="00A36B0F"/>
    <w:rsid w:val="00A51FA9"/>
    <w:rsid w:val="00A93A63"/>
    <w:rsid w:val="00A95FAE"/>
    <w:rsid w:val="00A9772D"/>
    <w:rsid w:val="00AC1147"/>
    <w:rsid w:val="00AD031B"/>
    <w:rsid w:val="00AE3C8D"/>
    <w:rsid w:val="00AF48F0"/>
    <w:rsid w:val="00AF4CE4"/>
    <w:rsid w:val="00B1430E"/>
    <w:rsid w:val="00B42AE1"/>
    <w:rsid w:val="00B4348E"/>
    <w:rsid w:val="00B446DC"/>
    <w:rsid w:val="00B446F1"/>
    <w:rsid w:val="00B868C1"/>
    <w:rsid w:val="00B9010F"/>
    <w:rsid w:val="00B94DB4"/>
    <w:rsid w:val="00BA53D1"/>
    <w:rsid w:val="00BA57C4"/>
    <w:rsid w:val="00BA70E1"/>
    <w:rsid w:val="00BF0E99"/>
    <w:rsid w:val="00BF43BA"/>
    <w:rsid w:val="00BF675D"/>
    <w:rsid w:val="00C052EE"/>
    <w:rsid w:val="00C06DD9"/>
    <w:rsid w:val="00C348F5"/>
    <w:rsid w:val="00C5244F"/>
    <w:rsid w:val="00C57EB4"/>
    <w:rsid w:val="00C659BC"/>
    <w:rsid w:val="00C7419D"/>
    <w:rsid w:val="00CD02FB"/>
    <w:rsid w:val="00CE7C6E"/>
    <w:rsid w:val="00D00915"/>
    <w:rsid w:val="00D020FB"/>
    <w:rsid w:val="00D0686A"/>
    <w:rsid w:val="00D114AE"/>
    <w:rsid w:val="00D130DB"/>
    <w:rsid w:val="00D15E9E"/>
    <w:rsid w:val="00D161C3"/>
    <w:rsid w:val="00D62CF7"/>
    <w:rsid w:val="00D7413F"/>
    <w:rsid w:val="00D801CB"/>
    <w:rsid w:val="00D8388D"/>
    <w:rsid w:val="00D97559"/>
    <w:rsid w:val="00DA6D01"/>
    <w:rsid w:val="00DC1145"/>
    <w:rsid w:val="00DC71A7"/>
    <w:rsid w:val="00DD545F"/>
    <w:rsid w:val="00DD5FDA"/>
    <w:rsid w:val="00DE15A2"/>
    <w:rsid w:val="00DE742A"/>
    <w:rsid w:val="00DF7126"/>
    <w:rsid w:val="00E05438"/>
    <w:rsid w:val="00E14384"/>
    <w:rsid w:val="00E165F2"/>
    <w:rsid w:val="00E16EEA"/>
    <w:rsid w:val="00E3582D"/>
    <w:rsid w:val="00E443C4"/>
    <w:rsid w:val="00E60365"/>
    <w:rsid w:val="00E66AD6"/>
    <w:rsid w:val="00E871C0"/>
    <w:rsid w:val="00E87241"/>
    <w:rsid w:val="00E95E8A"/>
    <w:rsid w:val="00EA7B5D"/>
    <w:rsid w:val="00EB2590"/>
    <w:rsid w:val="00EB2B04"/>
    <w:rsid w:val="00EB7A5A"/>
    <w:rsid w:val="00EF37B8"/>
    <w:rsid w:val="00EF631F"/>
    <w:rsid w:val="00F20B0A"/>
    <w:rsid w:val="00F410C1"/>
    <w:rsid w:val="00F46F52"/>
    <w:rsid w:val="00F66CFB"/>
    <w:rsid w:val="00F72243"/>
    <w:rsid w:val="00F82827"/>
    <w:rsid w:val="00F8561D"/>
    <w:rsid w:val="00FA2A01"/>
    <w:rsid w:val="00FB26FC"/>
    <w:rsid w:val="00FC1FAA"/>
    <w:rsid w:val="00FD34C9"/>
    <w:rsid w:val="00FE1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7FB237"/>
  <w15:chartTrackingRefBased/>
  <w15:docId w15:val="{053B47CD-ED44-4D19-9D6A-C0C937DEE0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theme="minorBidi"/>
        <w:kern w:val="2"/>
        <w:szCs w:val="21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E7C6E"/>
    <w:pPr>
      <w:widowControl w:val="0"/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C052EE"/>
    <w:pPr>
      <w:keepNext/>
      <w:keepLines/>
      <w:widowControl/>
      <w:numPr>
        <w:numId w:val="1"/>
      </w:numPr>
      <w:spacing w:before="60" w:after="60"/>
      <w:ind w:left="1134" w:hanging="1134"/>
      <w:outlineLvl w:val="0"/>
    </w:pPr>
    <w:rPr>
      <w:rFonts w:ascii="Arial" w:hAnsi="Arial" w:cs="Arial"/>
      <w:bCs/>
      <w:kern w:val="44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qFormat/>
    <w:rsid w:val="00C052EE"/>
    <w:pPr>
      <w:keepNext/>
      <w:keepLines/>
      <w:widowControl/>
      <w:numPr>
        <w:ilvl w:val="1"/>
        <w:numId w:val="1"/>
      </w:numPr>
      <w:ind w:left="1134" w:hanging="1134"/>
      <w:outlineLvl w:val="1"/>
    </w:pPr>
    <w:rPr>
      <w:rFonts w:ascii="Arial" w:eastAsiaTheme="majorEastAsia" w:hAnsi="Arial" w:cs="Arial"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qFormat/>
    <w:rsid w:val="00C052EE"/>
    <w:pPr>
      <w:keepNext/>
      <w:keepLines/>
      <w:widowControl/>
      <w:numPr>
        <w:ilvl w:val="2"/>
        <w:numId w:val="1"/>
      </w:numPr>
      <w:ind w:left="1134" w:hanging="1134"/>
      <w:outlineLvl w:val="2"/>
    </w:pPr>
    <w:rPr>
      <w:rFonts w:ascii="Arial" w:hAnsi="Arial" w:cs="Arial"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C052EE"/>
    <w:pPr>
      <w:keepNext/>
      <w:keepLines/>
      <w:widowControl/>
      <w:numPr>
        <w:ilvl w:val="3"/>
        <w:numId w:val="1"/>
      </w:numPr>
      <w:ind w:left="1134" w:hanging="1134"/>
      <w:outlineLvl w:val="3"/>
    </w:pPr>
    <w:rPr>
      <w:rFonts w:ascii="Arial" w:eastAsiaTheme="majorEastAsia" w:hAnsi="Arial" w:cs="Arial"/>
      <w:bCs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C052EE"/>
    <w:pPr>
      <w:keepNext/>
      <w:keepLines/>
      <w:widowControl/>
      <w:numPr>
        <w:ilvl w:val="4"/>
        <w:numId w:val="1"/>
      </w:numPr>
      <w:ind w:left="1134" w:hanging="1134"/>
      <w:outlineLvl w:val="4"/>
    </w:pPr>
    <w:rPr>
      <w:rFonts w:ascii="Arial" w:hAnsi="Arial" w:cs="Arial"/>
      <w:bCs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AD031B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E7F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3E7FE5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3E7FE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3E7FE5"/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C052EE"/>
    <w:rPr>
      <w:rFonts w:ascii="Arial" w:hAnsi="Arial" w:cs="Arial"/>
      <w:bCs/>
      <w:kern w:val="44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rsid w:val="00C052EE"/>
    <w:rPr>
      <w:rFonts w:ascii="Arial" w:eastAsiaTheme="majorEastAsia" w:hAnsi="Arial" w:cs="Arial"/>
      <w:bCs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C052EE"/>
    <w:rPr>
      <w:rFonts w:ascii="Arial" w:hAnsi="Arial" w:cs="Arial"/>
      <w:bCs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C052EE"/>
    <w:rPr>
      <w:rFonts w:ascii="Arial" w:eastAsiaTheme="majorEastAsia" w:hAnsi="Arial" w:cs="Arial"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C052EE"/>
    <w:rPr>
      <w:rFonts w:ascii="Arial" w:hAnsi="Arial" w:cs="Arial"/>
      <w:bCs/>
      <w:sz w:val="22"/>
      <w:szCs w:val="22"/>
    </w:rPr>
  </w:style>
  <w:style w:type="table" w:styleId="TableGrid">
    <w:name w:val="Table Grid"/>
    <w:basedOn w:val="TableNormal"/>
    <w:qFormat/>
    <w:rsid w:val="00541641"/>
    <w:rPr>
      <w:rFonts w:eastAsia="Malgun Gothic" w:cs="Times New Roman"/>
      <w:kern w:val="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qFormat/>
    <w:rsid w:val="00541641"/>
    <w:pPr>
      <w:widowControl/>
      <w:spacing w:after="120"/>
    </w:pPr>
    <w:rPr>
      <w:rFonts w:eastAsia="MS Mincho" w:cs="Times New Roman"/>
      <w:kern w:val="0"/>
      <w:szCs w:val="24"/>
      <w:lang w:eastAsia="en-US"/>
    </w:rPr>
  </w:style>
  <w:style w:type="character" w:customStyle="1" w:styleId="a">
    <w:name w:val="正文文本 字符"/>
    <w:basedOn w:val="DefaultParagraphFont"/>
    <w:uiPriority w:val="99"/>
    <w:semiHidden/>
    <w:rsid w:val="00541641"/>
  </w:style>
  <w:style w:type="character" w:customStyle="1" w:styleId="BodyTextChar">
    <w:name w:val="Body Text Char"/>
    <w:link w:val="BodyText"/>
    <w:qFormat/>
    <w:rsid w:val="00541641"/>
    <w:rPr>
      <w:rFonts w:eastAsia="MS Mincho" w:cs="Times New Roman"/>
      <w:kern w:val="0"/>
      <w:szCs w:val="2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541641"/>
    <w:pPr>
      <w:ind w:firstLineChars="200" w:firstLine="420"/>
    </w:pPr>
    <w:rPr>
      <w:rFonts w:ascii="Calibri" w:eastAsia="宋体" w:hAnsi="Calibri" w:cs="Times New Roman"/>
      <w:sz w:val="21"/>
      <w:szCs w:val="22"/>
    </w:rPr>
  </w:style>
  <w:style w:type="character" w:customStyle="1" w:styleId="ListParagraphChar">
    <w:name w:val="List Paragraph Char"/>
    <w:link w:val="ListParagraph"/>
    <w:uiPriority w:val="34"/>
    <w:qFormat/>
    <w:locked/>
    <w:rsid w:val="00541641"/>
    <w:rPr>
      <w:rFonts w:ascii="Calibri" w:eastAsia="宋体" w:hAnsi="Calibri" w:cs="Times New Roman"/>
      <w:sz w:val="21"/>
      <w:szCs w:val="22"/>
    </w:rPr>
  </w:style>
  <w:style w:type="character" w:customStyle="1" w:styleId="Heading6Char">
    <w:name w:val="Heading 6 Char"/>
    <w:basedOn w:val="DefaultParagraphFont"/>
    <w:link w:val="Heading6"/>
    <w:uiPriority w:val="9"/>
    <w:rsid w:val="00AD031B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PL">
    <w:name w:val="PL"/>
    <w:link w:val="PLChar"/>
    <w:qFormat/>
    <w:rsid w:val="00C57EB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C57EB4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paragraph" w:customStyle="1" w:styleId="TH">
    <w:name w:val="TH"/>
    <w:basedOn w:val="Normal"/>
    <w:link w:val="THChar"/>
    <w:rsid w:val="00C57EB4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Cs w:val="20"/>
      <w:lang w:val="en-GB" w:eastAsia="ja-JP"/>
    </w:rPr>
  </w:style>
  <w:style w:type="character" w:customStyle="1" w:styleId="THChar">
    <w:name w:val="TH Char"/>
    <w:link w:val="TH"/>
    <w:qFormat/>
    <w:rsid w:val="00C57EB4"/>
    <w:rPr>
      <w:rFonts w:ascii="Arial" w:eastAsia="Times New Roman" w:hAnsi="Arial" w:cs="Times New Roman"/>
      <w:b/>
      <w:kern w:val="0"/>
      <w:szCs w:val="20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57EB4"/>
    <w:rPr>
      <w:rFonts w:ascii="Microsoft YaHei UI" w:eastAsia="Microsoft Ya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7EB4"/>
    <w:rPr>
      <w:rFonts w:ascii="Microsoft YaHei UI" w:eastAsia="Microsoft YaHei UI"/>
      <w:sz w:val="18"/>
      <w:szCs w:val="18"/>
    </w:rPr>
  </w:style>
  <w:style w:type="paragraph" w:customStyle="1" w:styleId="TAL">
    <w:name w:val="TAL"/>
    <w:basedOn w:val="Normal"/>
    <w:link w:val="TALCar"/>
    <w:qFormat/>
    <w:rsid w:val="008A52CB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sid w:val="008A52CB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customStyle="1" w:styleId="TAH">
    <w:name w:val="TAH"/>
    <w:basedOn w:val="Normal"/>
    <w:link w:val="TAHCar"/>
    <w:qFormat/>
    <w:rsid w:val="008A52CB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character" w:customStyle="1" w:styleId="TAHCar">
    <w:name w:val="TAH Car"/>
    <w:link w:val="TAH"/>
    <w:qFormat/>
    <w:locked/>
    <w:rsid w:val="008A52CB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2C4919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2C4919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rsid w:val="002C4919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C49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C4919"/>
    <w:rPr>
      <w:b/>
      <w:bCs/>
    </w:rPr>
  </w:style>
  <w:style w:type="character" w:styleId="PlaceholderText">
    <w:name w:val="Placeholder Text"/>
    <w:basedOn w:val="DefaultParagraphFont"/>
    <w:uiPriority w:val="99"/>
    <w:semiHidden/>
    <w:rsid w:val="00061105"/>
    <w:rPr>
      <w:color w:val="808080"/>
    </w:rPr>
  </w:style>
  <w:style w:type="paragraph" w:customStyle="1" w:styleId="TAC">
    <w:name w:val="TAC"/>
    <w:basedOn w:val="TAL"/>
    <w:link w:val="TACChar"/>
    <w:qFormat/>
    <w:rsid w:val="004E0BC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overflowPunct/>
      <w:autoSpaceDE/>
      <w:autoSpaceDN/>
      <w:adjustRightInd/>
      <w:jc w:val="center"/>
      <w:textAlignment w:val="auto"/>
    </w:pPr>
    <w:rPr>
      <w:rFonts w:eastAsia="宋体"/>
      <w:szCs w:val="22"/>
      <w:lang w:eastAsia="en-US"/>
    </w:rPr>
  </w:style>
  <w:style w:type="character" w:customStyle="1" w:styleId="TACChar">
    <w:name w:val="TAC Char"/>
    <w:link w:val="TAC"/>
    <w:qFormat/>
    <w:rsid w:val="004E0BC9"/>
    <w:rPr>
      <w:rFonts w:ascii="Arial" w:eastAsia="宋体" w:hAnsi="Arial" w:cs="Times New Roman"/>
      <w:kern w:val="0"/>
      <w:sz w:val="18"/>
      <w:szCs w:val="22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CE7C6E"/>
    <w:pPr>
      <w:spacing w:after="200"/>
    </w:pPr>
    <w:rPr>
      <w:iCs/>
      <w:szCs w:val="18"/>
    </w:rPr>
  </w:style>
  <w:style w:type="paragraph" w:customStyle="1" w:styleId="CRCoverPage">
    <w:name w:val="CR Cover Page"/>
    <w:link w:val="CRCoverPageZchn"/>
    <w:qFormat/>
    <w:rsid w:val="001D70F1"/>
    <w:pPr>
      <w:spacing w:after="120"/>
    </w:pPr>
    <w:rPr>
      <w:rFonts w:ascii="Arial" w:eastAsia="MS Mincho" w:hAnsi="Arial" w:cs="Times New Roman"/>
      <w:kern w:val="0"/>
      <w:szCs w:val="20"/>
      <w:lang w:eastAsia="en-US"/>
    </w:rPr>
  </w:style>
  <w:style w:type="character" w:customStyle="1" w:styleId="CRCoverPageZchn">
    <w:name w:val="CR Cover Page Zchn"/>
    <w:link w:val="CRCoverPage"/>
    <w:qFormat/>
    <w:locked/>
    <w:rsid w:val="001D70F1"/>
    <w:rPr>
      <w:rFonts w:ascii="Arial" w:eastAsia="MS Mincho" w:hAnsi="Arial" w:cs="Times New Roman"/>
      <w:kern w:val="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DA8A1F-D61B-4385-8F60-26CD41E2A4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3</Pages>
  <Words>1162</Words>
  <Characters>6630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vivo</dc:creator>
  <cp:keywords/>
  <dc:description/>
  <cp:lastModifiedBy>vivo(Jing)</cp:lastModifiedBy>
  <cp:revision>13</cp:revision>
  <dcterms:created xsi:type="dcterms:W3CDTF">2023-04-07T03:35:00Z</dcterms:created>
  <dcterms:modified xsi:type="dcterms:W3CDTF">2023-04-07T09:11:00Z</dcterms:modified>
</cp:coreProperties>
</file>